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727E7" w14:textId="66317377" w:rsidR="00A4296A" w:rsidRPr="00594084" w:rsidRDefault="00C6524F" w:rsidP="001F7ACB">
      <w:pPr>
        <w:jc w:val="both"/>
        <w:rPr>
          <w:sz w:val="24"/>
          <w:szCs w:val="24"/>
        </w:rPr>
      </w:pPr>
      <w:r w:rsidRPr="00594084">
        <w:rPr>
          <w:sz w:val="24"/>
          <w:szCs w:val="24"/>
        </w:rPr>
        <w:t>Na temelju članka 8</w:t>
      </w:r>
      <w:r w:rsidR="00594084" w:rsidRPr="00594084">
        <w:rPr>
          <w:sz w:val="24"/>
          <w:szCs w:val="24"/>
        </w:rPr>
        <w:t>0</w:t>
      </w:r>
      <w:r w:rsidR="004A40CE" w:rsidRPr="00594084">
        <w:rPr>
          <w:sz w:val="24"/>
          <w:szCs w:val="24"/>
        </w:rPr>
        <w:t>.-8</w:t>
      </w:r>
      <w:r w:rsidR="00594084" w:rsidRPr="00594084">
        <w:rPr>
          <w:sz w:val="24"/>
          <w:szCs w:val="24"/>
        </w:rPr>
        <w:t>7</w:t>
      </w:r>
      <w:r w:rsidRPr="00594084">
        <w:rPr>
          <w:sz w:val="24"/>
          <w:szCs w:val="24"/>
        </w:rPr>
        <w:t>. Zakona o proračunu (NN 144/21)</w:t>
      </w:r>
      <w:r w:rsidR="000F1CB2" w:rsidRPr="00594084">
        <w:rPr>
          <w:sz w:val="24"/>
          <w:szCs w:val="24"/>
        </w:rPr>
        <w:t>, Pravilnika o polugodišnjem i godišnjem izvještaju o izvršenju proračuna i financijskog plana (NN 85/23)</w:t>
      </w:r>
      <w:r w:rsidRPr="00594084">
        <w:rPr>
          <w:sz w:val="24"/>
          <w:szCs w:val="24"/>
        </w:rPr>
        <w:t xml:space="preserve"> i članka</w:t>
      </w:r>
      <w:r w:rsidR="00E94C57" w:rsidRPr="00594084">
        <w:rPr>
          <w:sz w:val="24"/>
          <w:szCs w:val="24"/>
        </w:rPr>
        <w:t xml:space="preserve"> 16.</w:t>
      </w:r>
      <w:r w:rsidRPr="00594084">
        <w:rPr>
          <w:sz w:val="24"/>
          <w:szCs w:val="24"/>
        </w:rPr>
        <w:t xml:space="preserve"> Statuta javne vatrogasne postrojbe Centar za zaštitu od požara Poreč </w:t>
      </w:r>
      <w:r w:rsidR="00E94C57" w:rsidRPr="00594084">
        <w:rPr>
          <w:sz w:val="24"/>
          <w:szCs w:val="24"/>
        </w:rPr>
        <w:t>V</w:t>
      </w:r>
      <w:r w:rsidRPr="00594084">
        <w:rPr>
          <w:sz w:val="24"/>
          <w:szCs w:val="24"/>
        </w:rPr>
        <w:t>atrogasno vijeće Javne vatrogasne postrojbe Centar za zaštitu od požara Poreč, na sjednici održanoj</w:t>
      </w:r>
      <w:r w:rsidR="006B5A29">
        <w:rPr>
          <w:sz w:val="24"/>
          <w:szCs w:val="24"/>
        </w:rPr>
        <w:t xml:space="preserve"> 8.5</w:t>
      </w:r>
      <w:r w:rsidR="0004219D" w:rsidRPr="00594084">
        <w:rPr>
          <w:sz w:val="24"/>
          <w:szCs w:val="24"/>
        </w:rPr>
        <w:t>.</w:t>
      </w:r>
      <w:r w:rsidR="000F1CB2" w:rsidRPr="00594084">
        <w:rPr>
          <w:sz w:val="24"/>
          <w:szCs w:val="24"/>
        </w:rPr>
        <w:t>202</w:t>
      </w:r>
      <w:r w:rsidR="00594084" w:rsidRPr="00594084">
        <w:rPr>
          <w:sz w:val="24"/>
          <w:szCs w:val="24"/>
        </w:rPr>
        <w:t>6</w:t>
      </w:r>
      <w:r w:rsidRPr="00594084">
        <w:rPr>
          <w:sz w:val="24"/>
          <w:szCs w:val="24"/>
        </w:rPr>
        <w:t>. godine usvaja</w:t>
      </w:r>
    </w:p>
    <w:p w14:paraId="524001C5" w14:textId="7C90B702" w:rsidR="00C6524F" w:rsidRPr="00594084" w:rsidRDefault="00C6524F">
      <w:pPr>
        <w:rPr>
          <w:sz w:val="24"/>
          <w:szCs w:val="24"/>
        </w:rPr>
      </w:pPr>
    </w:p>
    <w:p w14:paraId="56C9BCC3" w14:textId="010676A1" w:rsidR="00C6524F" w:rsidRPr="00594084" w:rsidRDefault="00C6524F">
      <w:pPr>
        <w:rPr>
          <w:sz w:val="24"/>
          <w:szCs w:val="24"/>
        </w:rPr>
      </w:pPr>
    </w:p>
    <w:p w14:paraId="7001A96B" w14:textId="150D2607" w:rsidR="00C6524F" w:rsidRDefault="00C6524F"/>
    <w:p w14:paraId="34789450" w14:textId="10DE9CA1" w:rsidR="001F7ACB" w:rsidRDefault="001F7ACB"/>
    <w:p w14:paraId="472B7E9D" w14:textId="77777777" w:rsidR="001F7ACB" w:rsidRDefault="001F7ACB"/>
    <w:p w14:paraId="067A86D1" w14:textId="2592A265" w:rsidR="00C6524F" w:rsidRDefault="00C6524F"/>
    <w:p w14:paraId="056CC573" w14:textId="77777777" w:rsidR="00C6524F" w:rsidRDefault="00C6524F"/>
    <w:p w14:paraId="14795AC7" w14:textId="0E9C38D2" w:rsidR="00C6524F" w:rsidRDefault="00C6524F"/>
    <w:p w14:paraId="1A3C906E" w14:textId="08C6D322" w:rsidR="00C6524F" w:rsidRPr="00C768D1" w:rsidRDefault="00797E56" w:rsidP="00C6524F">
      <w:pPr>
        <w:jc w:val="center"/>
        <w:rPr>
          <w:b/>
          <w:bCs/>
          <w:color w:val="385623" w:themeColor="accent6" w:themeShade="80"/>
          <w:sz w:val="32"/>
          <w:szCs w:val="32"/>
        </w:rPr>
      </w:pPr>
      <w:r w:rsidRPr="00C768D1">
        <w:rPr>
          <w:b/>
          <w:bCs/>
          <w:color w:val="385623" w:themeColor="accent6" w:themeShade="80"/>
          <w:sz w:val="32"/>
          <w:szCs w:val="32"/>
        </w:rPr>
        <w:t xml:space="preserve">PRIJEDLOG </w:t>
      </w:r>
      <w:r w:rsidR="00860C21" w:rsidRPr="00C768D1">
        <w:rPr>
          <w:b/>
          <w:bCs/>
          <w:color w:val="385623" w:themeColor="accent6" w:themeShade="80"/>
          <w:sz w:val="32"/>
          <w:szCs w:val="32"/>
        </w:rPr>
        <w:t>G</w:t>
      </w:r>
      <w:r w:rsidR="00C6524F" w:rsidRPr="00C768D1">
        <w:rPr>
          <w:b/>
          <w:bCs/>
          <w:color w:val="385623" w:themeColor="accent6" w:themeShade="80"/>
          <w:sz w:val="32"/>
          <w:szCs w:val="32"/>
        </w:rPr>
        <w:t>ODIŠNJ</w:t>
      </w:r>
      <w:r w:rsidRPr="00C768D1">
        <w:rPr>
          <w:b/>
          <w:bCs/>
          <w:color w:val="385623" w:themeColor="accent6" w:themeShade="80"/>
          <w:sz w:val="32"/>
          <w:szCs w:val="32"/>
        </w:rPr>
        <w:t>EG</w:t>
      </w:r>
      <w:r w:rsidR="00C6524F" w:rsidRPr="00C768D1">
        <w:rPr>
          <w:b/>
          <w:bCs/>
          <w:color w:val="385623" w:themeColor="accent6" w:themeShade="80"/>
          <w:sz w:val="32"/>
          <w:szCs w:val="32"/>
        </w:rPr>
        <w:t xml:space="preserve"> IZVJEŠTAJ</w:t>
      </w:r>
      <w:r w:rsidRPr="00C768D1">
        <w:rPr>
          <w:b/>
          <w:bCs/>
          <w:color w:val="385623" w:themeColor="accent6" w:themeShade="80"/>
          <w:sz w:val="32"/>
          <w:szCs w:val="32"/>
        </w:rPr>
        <w:t>A</w:t>
      </w:r>
      <w:r w:rsidR="00C6524F" w:rsidRPr="00C768D1">
        <w:rPr>
          <w:b/>
          <w:bCs/>
          <w:color w:val="385623" w:themeColor="accent6" w:themeShade="80"/>
          <w:sz w:val="32"/>
          <w:szCs w:val="32"/>
        </w:rPr>
        <w:t xml:space="preserve"> O IZVRŠENJU FINANCIJSKOG PLANA</w:t>
      </w:r>
    </w:p>
    <w:p w14:paraId="1427AB08" w14:textId="59988BE5" w:rsidR="00C6524F" w:rsidRPr="00C768D1" w:rsidRDefault="00C6524F" w:rsidP="00C6524F">
      <w:pPr>
        <w:jc w:val="center"/>
        <w:rPr>
          <w:b/>
          <w:bCs/>
          <w:color w:val="385623" w:themeColor="accent6" w:themeShade="80"/>
          <w:sz w:val="32"/>
          <w:szCs w:val="32"/>
        </w:rPr>
      </w:pPr>
      <w:r w:rsidRPr="00C768D1">
        <w:rPr>
          <w:b/>
          <w:bCs/>
          <w:color w:val="385623" w:themeColor="accent6" w:themeShade="80"/>
          <w:sz w:val="32"/>
          <w:szCs w:val="32"/>
        </w:rPr>
        <w:t>JAVNE VATROGASNE POSTROJBE</w:t>
      </w:r>
    </w:p>
    <w:p w14:paraId="3078B992" w14:textId="304BB6CD" w:rsidR="00C6524F" w:rsidRPr="00C768D1" w:rsidRDefault="00C6524F" w:rsidP="00C6524F">
      <w:pPr>
        <w:jc w:val="center"/>
        <w:rPr>
          <w:b/>
          <w:bCs/>
          <w:color w:val="385623" w:themeColor="accent6" w:themeShade="80"/>
          <w:sz w:val="32"/>
          <w:szCs w:val="32"/>
        </w:rPr>
      </w:pPr>
      <w:r w:rsidRPr="00C768D1">
        <w:rPr>
          <w:b/>
          <w:bCs/>
          <w:color w:val="385623" w:themeColor="accent6" w:themeShade="80"/>
          <w:sz w:val="32"/>
          <w:szCs w:val="32"/>
        </w:rPr>
        <w:t>CENTAR ZA ZAŠTITU OD POŽARA POREČ</w:t>
      </w:r>
    </w:p>
    <w:p w14:paraId="63468B06" w14:textId="7DF9BF3F" w:rsidR="00C6524F" w:rsidRPr="00C768D1" w:rsidRDefault="00C6524F" w:rsidP="00C6524F">
      <w:pPr>
        <w:jc w:val="center"/>
        <w:rPr>
          <w:b/>
          <w:bCs/>
          <w:color w:val="385623" w:themeColor="accent6" w:themeShade="80"/>
          <w:sz w:val="32"/>
          <w:szCs w:val="32"/>
        </w:rPr>
      </w:pPr>
      <w:r w:rsidRPr="00C768D1">
        <w:rPr>
          <w:b/>
          <w:bCs/>
          <w:color w:val="385623" w:themeColor="accent6" w:themeShade="80"/>
          <w:sz w:val="32"/>
          <w:szCs w:val="32"/>
        </w:rPr>
        <w:t xml:space="preserve">ZA </w:t>
      </w:r>
      <w:r w:rsidR="00CA3A76" w:rsidRPr="00C768D1">
        <w:rPr>
          <w:b/>
          <w:bCs/>
          <w:color w:val="385623" w:themeColor="accent6" w:themeShade="80"/>
          <w:sz w:val="32"/>
          <w:szCs w:val="32"/>
        </w:rPr>
        <w:t>RAZDOBLJE 01.01.-3</w:t>
      </w:r>
      <w:r w:rsidR="00860C21" w:rsidRPr="00C768D1">
        <w:rPr>
          <w:b/>
          <w:bCs/>
          <w:color w:val="385623" w:themeColor="accent6" w:themeShade="80"/>
          <w:sz w:val="32"/>
          <w:szCs w:val="32"/>
        </w:rPr>
        <w:t>1</w:t>
      </w:r>
      <w:r w:rsidR="00CA3A76" w:rsidRPr="00C768D1">
        <w:rPr>
          <w:b/>
          <w:bCs/>
          <w:color w:val="385623" w:themeColor="accent6" w:themeShade="80"/>
          <w:sz w:val="32"/>
          <w:szCs w:val="32"/>
        </w:rPr>
        <w:t>.</w:t>
      </w:r>
      <w:r w:rsidR="00860C21" w:rsidRPr="00C768D1">
        <w:rPr>
          <w:b/>
          <w:bCs/>
          <w:color w:val="385623" w:themeColor="accent6" w:themeShade="80"/>
          <w:sz w:val="32"/>
          <w:szCs w:val="32"/>
        </w:rPr>
        <w:t>12</w:t>
      </w:r>
      <w:r w:rsidR="00CA3A76" w:rsidRPr="00C768D1">
        <w:rPr>
          <w:b/>
          <w:bCs/>
          <w:color w:val="385623" w:themeColor="accent6" w:themeShade="80"/>
          <w:sz w:val="32"/>
          <w:szCs w:val="32"/>
        </w:rPr>
        <w:t>.</w:t>
      </w:r>
      <w:r w:rsidRPr="00C768D1">
        <w:rPr>
          <w:b/>
          <w:bCs/>
          <w:color w:val="385623" w:themeColor="accent6" w:themeShade="80"/>
          <w:sz w:val="32"/>
          <w:szCs w:val="32"/>
        </w:rPr>
        <w:t>202</w:t>
      </w:r>
      <w:r w:rsidR="00594084" w:rsidRPr="00C768D1">
        <w:rPr>
          <w:b/>
          <w:bCs/>
          <w:color w:val="385623" w:themeColor="accent6" w:themeShade="80"/>
          <w:sz w:val="32"/>
          <w:szCs w:val="32"/>
        </w:rPr>
        <w:t>5</w:t>
      </w:r>
      <w:r w:rsidRPr="00C768D1">
        <w:rPr>
          <w:b/>
          <w:bCs/>
          <w:color w:val="385623" w:themeColor="accent6" w:themeShade="80"/>
          <w:sz w:val="32"/>
          <w:szCs w:val="32"/>
        </w:rPr>
        <w:t>. GODIN</w:t>
      </w:r>
      <w:r w:rsidR="00CA3A76" w:rsidRPr="00C768D1">
        <w:rPr>
          <w:b/>
          <w:bCs/>
          <w:color w:val="385623" w:themeColor="accent6" w:themeShade="80"/>
          <w:sz w:val="32"/>
          <w:szCs w:val="32"/>
        </w:rPr>
        <w:t>E</w:t>
      </w:r>
    </w:p>
    <w:p w14:paraId="0AF5EF6C" w14:textId="17EEAFCB" w:rsidR="00C6524F" w:rsidRPr="00C768D1" w:rsidRDefault="00C6524F">
      <w:pPr>
        <w:rPr>
          <w:color w:val="385623" w:themeColor="accent6" w:themeShade="80"/>
        </w:rPr>
      </w:pPr>
    </w:p>
    <w:p w14:paraId="3ADAC302" w14:textId="7577E968" w:rsidR="00C6524F" w:rsidRPr="00C768D1" w:rsidRDefault="00C6524F">
      <w:pPr>
        <w:rPr>
          <w:color w:val="FF9900"/>
        </w:rPr>
      </w:pPr>
    </w:p>
    <w:p w14:paraId="14423824" w14:textId="4B706C35" w:rsidR="00C6524F" w:rsidRPr="00C768D1" w:rsidRDefault="00C6524F">
      <w:pPr>
        <w:rPr>
          <w:color w:val="FF9900"/>
        </w:rPr>
      </w:pPr>
    </w:p>
    <w:p w14:paraId="32F410C3" w14:textId="5833C4B5" w:rsidR="00C6524F" w:rsidRDefault="00C6524F"/>
    <w:p w14:paraId="550E329D" w14:textId="1CB8893A" w:rsidR="00C6524F" w:rsidRDefault="00C6524F"/>
    <w:p w14:paraId="6E7547E4" w14:textId="2453DD28" w:rsidR="00C6524F" w:rsidRDefault="00C6524F"/>
    <w:p w14:paraId="40580D97" w14:textId="0D0E2D54" w:rsidR="00C6524F" w:rsidRDefault="00C6524F"/>
    <w:p w14:paraId="73EDB053" w14:textId="009264EE" w:rsidR="00C6524F" w:rsidRDefault="00C6524F"/>
    <w:p w14:paraId="736D1695" w14:textId="3B083E07" w:rsidR="00C6524F" w:rsidRDefault="00C6524F"/>
    <w:p w14:paraId="46405B99" w14:textId="2E06DA3E" w:rsidR="00C6524F" w:rsidRDefault="00C6524F"/>
    <w:p w14:paraId="57EF584F" w14:textId="141BBC19" w:rsidR="00C6524F" w:rsidRDefault="00C6524F"/>
    <w:p w14:paraId="070BC60E" w14:textId="1405DD72" w:rsidR="00C6524F" w:rsidRPr="00594084" w:rsidRDefault="00C6524F" w:rsidP="00C6524F">
      <w:pPr>
        <w:spacing w:after="0"/>
        <w:rPr>
          <w:sz w:val="24"/>
          <w:szCs w:val="24"/>
        </w:rPr>
      </w:pPr>
      <w:r w:rsidRPr="00594084">
        <w:rPr>
          <w:sz w:val="24"/>
          <w:szCs w:val="24"/>
        </w:rPr>
        <w:t xml:space="preserve">KLASA: </w:t>
      </w:r>
      <w:r w:rsidR="00930FCA" w:rsidRPr="00594084">
        <w:rPr>
          <w:sz w:val="24"/>
          <w:szCs w:val="24"/>
        </w:rPr>
        <w:t>400-02</w:t>
      </w:r>
      <w:r w:rsidR="001F7ACB" w:rsidRPr="00594084">
        <w:rPr>
          <w:sz w:val="24"/>
          <w:szCs w:val="24"/>
        </w:rPr>
        <w:t>/2</w:t>
      </w:r>
      <w:r w:rsidR="00594084" w:rsidRPr="00594084">
        <w:rPr>
          <w:sz w:val="24"/>
          <w:szCs w:val="24"/>
        </w:rPr>
        <w:t>6</w:t>
      </w:r>
      <w:r w:rsidR="00F01F2B" w:rsidRPr="00594084">
        <w:rPr>
          <w:sz w:val="24"/>
          <w:szCs w:val="24"/>
        </w:rPr>
        <w:t>-</w:t>
      </w:r>
      <w:r w:rsidR="00930FCA" w:rsidRPr="00594084">
        <w:rPr>
          <w:sz w:val="24"/>
          <w:szCs w:val="24"/>
        </w:rPr>
        <w:t>01</w:t>
      </w:r>
      <w:r w:rsidR="000F1CB2" w:rsidRPr="00594084">
        <w:rPr>
          <w:sz w:val="24"/>
          <w:szCs w:val="24"/>
        </w:rPr>
        <w:t>/01</w:t>
      </w:r>
    </w:p>
    <w:p w14:paraId="0D3100FC" w14:textId="52F80C88" w:rsidR="00C6524F" w:rsidRPr="00594084" w:rsidRDefault="00C6524F" w:rsidP="00C6524F">
      <w:pPr>
        <w:spacing w:after="0"/>
        <w:rPr>
          <w:sz w:val="24"/>
          <w:szCs w:val="24"/>
        </w:rPr>
      </w:pPr>
      <w:r w:rsidRPr="00594084">
        <w:rPr>
          <w:sz w:val="24"/>
          <w:szCs w:val="24"/>
        </w:rPr>
        <w:t>URBROJ:</w:t>
      </w:r>
      <w:r w:rsidR="00E94C57" w:rsidRPr="00594084">
        <w:rPr>
          <w:sz w:val="24"/>
          <w:szCs w:val="24"/>
        </w:rPr>
        <w:t xml:space="preserve"> 2163-6-5-</w:t>
      </w:r>
      <w:r w:rsidR="00F22BDB" w:rsidRPr="00594084">
        <w:rPr>
          <w:sz w:val="24"/>
          <w:szCs w:val="24"/>
        </w:rPr>
        <w:t>2</w:t>
      </w:r>
      <w:r w:rsidR="00594084" w:rsidRPr="00594084">
        <w:rPr>
          <w:sz w:val="24"/>
          <w:szCs w:val="24"/>
        </w:rPr>
        <w:t>6</w:t>
      </w:r>
      <w:r w:rsidR="001F7ACB" w:rsidRPr="00594084">
        <w:rPr>
          <w:sz w:val="24"/>
          <w:szCs w:val="24"/>
        </w:rPr>
        <w:t>-</w:t>
      </w:r>
      <w:r w:rsidR="00F01F2B" w:rsidRPr="00594084">
        <w:rPr>
          <w:sz w:val="24"/>
          <w:szCs w:val="24"/>
        </w:rPr>
        <w:t>1</w:t>
      </w:r>
    </w:p>
    <w:p w14:paraId="5961CE1B" w14:textId="473F4FE2" w:rsidR="00C6524F" w:rsidRPr="00594084" w:rsidRDefault="00C6524F" w:rsidP="00C6524F">
      <w:pPr>
        <w:spacing w:after="0"/>
        <w:rPr>
          <w:sz w:val="24"/>
          <w:szCs w:val="24"/>
        </w:rPr>
      </w:pPr>
      <w:r w:rsidRPr="00594084">
        <w:rPr>
          <w:sz w:val="24"/>
          <w:szCs w:val="24"/>
        </w:rPr>
        <w:t xml:space="preserve">Poreč, </w:t>
      </w:r>
      <w:r w:rsidR="00F22BDB" w:rsidRPr="00594084">
        <w:rPr>
          <w:sz w:val="24"/>
          <w:szCs w:val="24"/>
        </w:rPr>
        <w:t xml:space="preserve">  </w:t>
      </w:r>
      <w:r w:rsidR="00594084" w:rsidRPr="00594084">
        <w:rPr>
          <w:sz w:val="24"/>
          <w:szCs w:val="24"/>
        </w:rPr>
        <w:t>18</w:t>
      </w:r>
      <w:r w:rsidR="006062DB" w:rsidRPr="00594084">
        <w:rPr>
          <w:sz w:val="24"/>
          <w:szCs w:val="24"/>
        </w:rPr>
        <w:t>.</w:t>
      </w:r>
      <w:r w:rsidR="000F1CB2" w:rsidRPr="00594084">
        <w:rPr>
          <w:sz w:val="24"/>
          <w:szCs w:val="24"/>
        </w:rPr>
        <w:t xml:space="preserve"> </w:t>
      </w:r>
      <w:r w:rsidR="00F01F2B" w:rsidRPr="00594084">
        <w:rPr>
          <w:sz w:val="24"/>
          <w:szCs w:val="24"/>
        </w:rPr>
        <w:t xml:space="preserve">ožujka </w:t>
      </w:r>
      <w:r w:rsidR="00F22BDB" w:rsidRPr="00594084">
        <w:rPr>
          <w:sz w:val="24"/>
          <w:szCs w:val="24"/>
        </w:rPr>
        <w:t>202</w:t>
      </w:r>
      <w:r w:rsidR="00594084" w:rsidRPr="00594084">
        <w:rPr>
          <w:sz w:val="24"/>
          <w:szCs w:val="24"/>
        </w:rPr>
        <w:t>6</w:t>
      </w:r>
      <w:r w:rsidR="00F22BDB" w:rsidRPr="00594084">
        <w:rPr>
          <w:sz w:val="24"/>
          <w:szCs w:val="24"/>
        </w:rPr>
        <w:t>.</w:t>
      </w:r>
    </w:p>
    <w:p w14:paraId="3308C5A9" w14:textId="7293ABE0" w:rsidR="00C6524F" w:rsidRDefault="00C6524F" w:rsidP="00C6524F">
      <w:pPr>
        <w:spacing w:after="0"/>
      </w:pPr>
    </w:p>
    <w:p w14:paraId="0D3A1BDE" w14:textId="77777777" w:rsidR="00594084" w:rsidRDefault="00594084" w:rsidP="00C6524F">
      <w:pPr>
        <w:spacing w:after="0"/>
      </w:pPr>
    </w:p>
    <w:p w14:paraId="063C7912" w14:textId="77777777" w:rsidR="00594084" w:rsidRDefault="00594084" w:rsidP="00C6524F">
      <w:pPr>
        <w:spacing w:after="0"/>
      </w:pPr>
    </w:p>
    <w:p w14:paraId="731CF0F6" w14:textId="41FD9B37" w:rsidR="00C6524F" w:rsidRPr="00C768D1" w:rsidRDefault="00C6524F" w:rsidP="00C6524F">
      <w:pPr>
        <w:pStyle w:val="Odlomakpopisa"/>
        <w:numPr>
          <w:ilvl w:val="0"/>
          <w:numId w:val="2"/>
        </w:numPr>
        <w:spacing w:after="0"/>
        <w:rPr>
          <w:b/>
          <w:bCs/>
          <w:color w:val="385623" w:themeColor="accent6" w:themeShade="80"/>
          <w:sz w:val="24"/>
          <w:szCs w:val="24"/>
        </w:rPr>
      </w:pPr>
      <w:r w:rsidRPr="00C768D1">
        <w:rPr>
          <w:b/>
          <w:bCs/>
          <w:color w:val="385623" w:themeColor="accent6" w:themeShade="80"/>
          <w:sz w:val="24"/>
          <w:szCs w:val="24"/>
        </w:rPr>
        <w:t>SAŽETAK DJELOKRUGA RADA</w:t>
      </w:r>
    </w:p>
    <w:p w14:paraId="39386060" w14:textId="77777777" w:rsidR="001F7ACB" w:rsidRPr="001F7ACB" w:rsidRDefault="001F7ACB" w:rsidP="001F7ACB">
      <w:pPr>
        <w:pStyle w:val="Odlomakpopisa"/>
        <w:spacing w:after="0"/>
        <w:rPr>
          <w:b/>
          <w:bCs/>
          <w:color w:val="2E74B5" w:themeColor="accent5" w:themeShade="BF"/>
          <w:sz w:val="24"/>
          <w:szCs w:val="24"/>
        </w:rPr>
      </w:pPr>
    </w:p>
    <w:p w14:paraId="359919C6" w14:textId="406EB626" w:rsidR="00D13B93" w:rsidRDefault="00D13B93" w:rsidP="00EF3AAC">
      <w:pPr>
        <w:spacing w:after="0"/>
        <w:jc w:val="both"/>
        <w:rPr>
          <w:sz w:val="24"/>
          <w:szCs w:val="24"/>
        </w:rPr>
      </w:pPr>
      <w:r>
        <w:t>Javna vatrogasna postrojba Centar za zaštitu od požara Poreč je javna ustanova osnovana temeljem članka 31. Zakona o vatrogastvu (NN 125/19</w:t>
      </w:r>
      <w:r w:rsidR="00F01F2B">
        <w:t>, 114/22, 155/23</w:t>
      </w:r>
      <w:r>
        <w:t>). Osnivač</w:t>
      </w:r>
      <w:r w:rsidR="00ED6542">
        <w:t>i</w:t>
      </w:r>
      <w:r>
        <w:t xml:space="preserve"> </w:t>
      </w:r>
      <w:r w:rsidR="004A40CE">
        <w:t>J</w:t>
      </w:r>
      <w:r>
        <w:t xml:space="preserve">avne vatrogasne postrojbe Centar za zaštitu od požara Poreč </w:t>
      </w:r>
      <w:r w:rsidR="00ED6542">
        <w:t>su</w:t>
      </w:r>
      <w:r w:rsidR="00EF3AAC">
        <w:rPr>
          <w:sz w:val="24"/>
          <w:szCs w:val="24"/>
        </w:rPr>
        <w:t xml:space="preserve"> Grad Poreč-</w:t>
      </w:r>
      <w:proofErr w:type="spellStart"/>
      <w:r w:rsidR="00EF3AAC">
        <w:rPr>
          <w:sz w:val="24"/>
          <w:szCs w:val="24"/>
        </w:rPr>
        <w:t>Parenzo</w:t>
      </w:r>
      <w:proofErr w:type="spellEnd"/>
      <w:r w:rsidR="00EF3AAC">
        <w:rPr>
          <w:sz w:val="24"/>
          <w:szCs w:val="24"/>
        </w:rPr>
        <w:t xml:space="preserve">, Općine Funtana-Fontana, </w:t>
      </w:r>
      <w:proofErr w:type="spellStart"/>
      <w:r w:rsidR="00EF3AAC">
        <w:rPr>
          <w:sz w:val="24"/>
          <w:szCs w:val="24"/>
        </w:rPr>
        <w:t>Kaštelir</w:t>
      </w:r>
      <w:proofErr w:type="spellEnd"/>
      <w:r w:rsidR="00EF3AAC">
        <w:rPr>
          <w:sz w:val="24"/>
          <w:szCs w:val="24"/>
        </w:rPr>
        <w:t xml:space="preserve">-Labinci </w:t>
      </w:r>
      <w:proofErr w:type="spellStart"/>
      <w:r w:rsidR="00EF3AAC">
        <w:rPr>
          <w:sz w:val="24"/>
          <w:szCs w:val="24"/>
        </w:rPr>
        <w:t>Castellier</w:t>
      </w:r>
      <w:proofErr w:type="spellEnd"/>
      <w:r w:rsidR="00EF3AAC">
        <w:rPr>
          <w:sz w:val="24"/>
          <w:szCs w:val="24"/>
        </w:rPr>
        <w:t xml:space="preserve">-S. Domenica, Sveti </w:t>
      </w:r>
      <w:proofErr w:type="spellStart"/>
      <w:r w:rsidR="00EF3AAC">
        <w:rPr>
          <w:sz w:val="24"/>
          <w:szCs w:val="24"/>
        </w:rPr>
        <w:t>Lovreč</w:t>
      </w:r>
      <w:proofErr w:type="spellEnd"/>
      <w:r w:rsidR="00EF3AAC">
        <w:rPr>
          <w:sz w:val="24"/>
          <w:szCs w:val="24"/>
        </w:rPr>
        <w:t>, Višnjan-</w:t>
      </w:r>
      <w:proofErr w:type="spellStart"/>
      <w:r w:rsidR="00EF3AAC">
        <w:rPr>
          <w:sz w:val="24"/>
          <w:szCs w:val="24"/>
        </w:rPr>
        <w:t>Visignano</w:t>
      </w:r>
      <w:proofErr w:type="spellEnd"/>
      <w:r w:rsidR="00EF3AAC">
        <w:rPr>
          <w:sz w:val="24"/>
          <w:szCs w:val="24"/>
        </w:rPr>
        <w:t xml:space="preserve">, </w:t>
      </w:r>
      <w:proofErr w:type="spellStart"/>
      <w:r w:rsidR="00EF3AAC">
        <w:rPr>
          <w:sz w:val="24"/>
          <w:szCs w:val="24"/>
        </w:rPr>
        <w:t>Vižinada-Visinada</w:t>
      </w:r>
      <w:proofErr w:type="spellEnd"/>
      <w:r w:rsidR="00EF3AAC">
        <w:rPr>
          <w:sz w:val="24"/>
          <w:szCs w:val="24"/>
        </w:rPr>
        <w:t>, Vrsar-</w:t>
      </w:r>
      <w:proofErr w:type="spellStart"/>
      <w:r w:rsidR="00EF3AAC">
        <w:rPr>
          <w:sz w:val="24"/>
          <w:szCs w:val="24"/>
        </w:rPr>
        <w:t>Orsera</w:t>
      </w:r>
      <w:proofErr w:type="spellEnd"/>
      <w:r w:rsidR="00EF3AAC">
        <w:rPr>
          <w:sz w:val="24"/>
          <w:szCs w:val="24"/>
        </w:rPr>
        <w:t xml:space="preserve">  i Tar-Vabriga-</w:t>
      </w:r>
      <w:proofErr w:type="spellStart"/>
      <w:r w:rsidR="00EF3AAC">
        <w:rPr>
          <w:sz w:val="24"/>
          <w:szCs w:val="24"/>
        </w:rPr>
        <w:t>Torre</w:t>
      </w:r>
      <w:proofErr w:type="spellEnd"/>
      <w:r w:rsidR="00EF3AAC">
        <w:rPr>
          <w:sz w:val="24"/>
          <w:szCs w:val="24"/>
        </w:rPr>
        <w:t>-</w:t>
      </w:r>
      <w:proofErr w:type="spellStart"/>
      <w:r w:rsidR="00EF3AAC">
        <w:rPr>
          <w:sz w:val="24"/>
          <w:szCs w:val="24"/>
        </w:rPr>
        <w:t>Abrega</w:t>
      </w:r>
      <w:proofErr w:type="spellEnd"/>
      <w:r w:rsidR="00EF3AAC">
        <w:rPr>
          <w:sz w:val="24"/>
          <w:szCs w:val="24"/>
        </w:rPr>
        <w:t xml:space="preserve">, te se njena veličina temelji na Planu zaštite od požara jedinica lokalne samouprave </w:t>
      </w:r>
      <w:proofErr w:type="spellStart"/>
      <w:r w:rsidR="00EF3AAC">
        <w:rPr>
          <w:sz w:val="24"/>
          <w:szCs w:val="24"/>
        </w:rPr>
        <w:t>Poreštine</w:t>
      </w:r>
      <w:proofErr w:type="spellEnd"/>
      <w:r w:rsidR="00EF3AAC">
        <w:rPr>
          <w:sz w:val="24"/>
          <w:szCs w:val="24"/>
        </w:rPr>
        <w:t xml:space="preserve"> (Grad Poreč-</w:t>
      </w:r>
      <w:proofErr w:type="spellStart"/>
      <w:r w:rsidR="00EF3AAC">
        <w:rPr>
          <w:sz w:val="24"/>
          <w:szCs w:val="24"/>
        </w:rPr>
        <w:t>Parenzo</w:t>
      </w:r>
      <w:proofErr w:type="spellEnd"/>
      <w:r w:rsidR="00EF3AAC">
        <w:rPr>
          <w:sz w:val="24"/>
          <w:szCs w:val="24"/>
        </w:rPr>
        <w:t xml:space="preserve">, Općine Funtana-Fontana, </w:t>
      </w:r>
      <w:proofErr w:type="spellStart"/>
      <w:r w:rsidR="00EF3AAC">
        <w:rPr>
          <w:sz w:val="24"/>
          <w:szCs w:val="24"/>
        </w:rPr>
        <w:t>Kaštelir</w:t>
      </w:r>
      <w:proofErr w:type="spellEnd"/>
      <w:r w:rsidR="00EF3AAC">
        <w:rPr>
          <w:sz w:val="24"/>
          <w:szCs w:val="24"/>
        </w:rPr>
        <w:t xml:space="preserve">-Labinci </w:t>
      </w:r>
      <w:proofErr w:type="spellStart"/>
      <w:r w:rsidR="00EF3AAC">
        <w:rPr>
          <w:sz w:val="24"/>
          <w:szCs w:val="24"/>
        </w:rPr>
        <w:t>Castellier</w:t>
      </w:r>
      <w:proofErr w:type="spellEnd"/>
      <w:r w:rsidR="00EF3AAC">
        <w:rPr>
          <w:sz w:val="24"/>
          <w:szCs w:val="24"/>
        </w:rPr>
        <w:t xml:space="preserve">-S. Domenica, Sveti </w:t>
      </w:r>
      <w:proofErr w:type="spellStart"/>
      <w:r w:rsidR="00EF3AAC">
        <w:rPr>
          <w:sz w:val="24"/>
          <w:szCs w:val="24"/>
        </w:rPr>
        <w:t>Lovreč</w:t>
      </w:r>
      <w:proofErr w:type="spellEnd"/>
      <w:r w:rsidR="00EF3AAC">
        <w:rPr>
          <w:sz w:val="24"/>
          <w:szCs w:val="24"/>
        </w:rPr>
        <w:t>, Višnjan-</w:t>
      </w:r>
      <w:proofErr w:type="spellStart"/>
      <w:r w:rsidR="00EF3AAC">
        <w:rPr>
          <w:sz w:val="24"/>
          <w:szCs w:val="24"/>
        </w:rPr>
        <w:t>Visignano</w:t>
      </w:r>
      <w:proofErr w:type="spellEnd"/>
      <w:r w:rsidR="00EF3AAC">
        <w:rPr>
          <w:sz w:val="24"/>
          <w:szCs w:val="24"/>
        </w:rPr>
        <w:t xml:space="preserve">, </w:t>
      </w:r>
      <w:proofErr w:type="spellStart"/>
      <w:r w:rsidR="00EF3AAC">
        <w:rPr>
          <w:sz w:val="24"/>
          <w:szCs w:val="24"/>
        </w:rPr>
        <w:t>Vižinada-Visinada</w:t>
      </w:r>
      <w:proofErr w:type="spellEnd"/>
      <w:r w:rsidR="00EF3AAC">
        <w:rPr>
          <w:sz w:val="24"/>
          <w:szCs w:val="24"/>
        </w:rPr>
        <w:t>, Vrsar-</w:t>
      </w:r>
      <w:proofErr w:type="spellStart"/>
      <w:r w:rsidR="00EF3AAC">
        <w:rPr>
          <w:sz w:val="24"/>
          <w:szCs w:val="24"/>
        </w:rPr>
        <w:t>Orsera</w:t>
      </w:r>
      <w:proofErr w:type="spellEnd"/>
      <w:r w:rsidR="00EF3AAC">
        <w:rPr>
          <w:sz w:val="24"/>
          <w:szCs w:val="24"/>
        </w:rPr>
        <w:t xml:space="preserve">  i Tar-Vabriga-</w:t>
      </w:r>
      <w:proofErr w:type="spellStart"/>
      <w:r w:rsidR="00EF3AAC">
        <w:rPr>
          <w:sz w:val="24"/>
          <w:szCs w:val="24"/>
        </w:rPr>
        <w:t>Torre</w:t>
      </w:r>
      <w:proofErr w:type="spellEnd"/>
      <w:r w:rsidR="00EF3AAC">
        <w:rPr>
          <w:sz w:val="24"/>
          <w:szCs w:val="24"/>
        </w:rPr>
        <w:t>-</w:t>
      </w:r>
      <w:proofErr w:type="spellStart"/>
      <w:r w:rsidR="00EF3AAC">
        <w:rPr>
          <w:sz w:val="24"/>
          <w:szCs w:val="24"/>
        </w:rPr>
        <w:t>Abrega</w:t>
      </w:r>
      <w:proofErr w:type="spellEnd"/>
      <w:r w:rsidR="00EF3AAC">
        <w:rPr>
          <w:sz w:val="24"/>
          <w:szCs w:val="24"/>
        </w:rPr>
        <w:t>).</w:t>
      </w:r>
    </w:p>
    <w:p w14:paraId="08BE669E" w14:textId="77777777" w:rsidR="00EF3AAC" w:rsidRPr="00EF3AAC" w:rsidRDefault="00EF3AAC" w:rsidP="00EF3AAC">
      <w:pPr>
        <w:spacing w:after="0"/>
        <w:jc w:val="both"/>
        <w:rPr>
          <w:sz w:val="24"/>
          <w:szCs w:val="24"/>
        </w:rPr>
      </w:pPr>
    </w:p>
    <w:p w14:paraId="12935D54" w14:textId="3A4A4DE9" w:rsidR="00D13B93" w:rsidRDefault="00D13B93" w:rsidP="00D13B9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Djelatnost Javne vatrogasne postrojbe CZP Poreč obuhvaća sudjelovanje u provedbi preventivnih mjera zaštite od požara i eksplozija, gašenja požara i spašavanja ljudi i imovine ugroženih požarom i eksplozijom, pružanju tehničke pomoći u nezgodama i opasnim situacijama, educiranju građanstva u provođenju preventive i osposobljavanju za zaštitu od požara, te obavljanje i drugih poslova u nesrećama, ekološkim i inim nesrećama.</w:t>
      </w:r>
    </w:p>
    <w:p w14:paraId="029CD99C" w14:textId="77777777" w:rsidR="00D13B93" w:rsidRPr="00594084" w:rsidRDefault="00D13B93" w:rsidP="00D13B93">
      <w:pPr>
        <w:spacing w:after="0"/>
        <w:jc w:val="both"/>
        <w:rPr>
          <w:sz w:val="24"/>
          <w:szCs w:val="24"/>
        </w:rPr>
      </w:pPr>
    </w:p>
    <w:p w14:paraId="0CEA6A68" w14:textId="6D013A5C" w:rsidR="00D13B93" w:rsidRPr="00594084" w:rsidRDefault="00D13B93" w:rsidP="00D13B93">
      <w:pPr>
        <w:spacing w:after="0"/>
        <w:jc w:val="both"/>
        <w:rPr>
          <w:sz w:val="24"/>
          <w:szCs w:val="24"/>
        </w:rPr>
      </w:pPr>
      <w:r w:rsidRPr="00594084">
        <w:rPr>
          <w:sz w:val="24"/>
          <w:szCs w:val="24"/>
        </w:rPr>
        <w:t xml:space="preserve">Javnom vatrogasnom postrojbom CZP Poreč upravlja Vatrogasno vijeće koje se sastoji od tri članova. Zapovjednik Javne vatrogasne postrojbe CZP Poreč odgovorna je osoba u pravnoj osobi, a uz zamjenika zapovjednika čine kolektiv od </w:t>
      </w:r>
      <w:r w:rsidR="004A40CE" w:rsidRPr="00594084">
        <w:rPr>
          <w:sz w:val="24"/>
          <w:szCs w:val="24"/>
        </w:rPr>
        <w:t>3</w:t>
      </w:r>
      <w:r w:rsidR="00594084">
        <w:rPr>
          <w:sz w:val="24"/>
          <w:szCs w:val="24"/>
        </w:rPr>
        <w:t>2</w:t>
      </w:r>
      <w:r w:rsidRPr="00594084">
        <w:rPr>
          <w:sz w:val="24"/>
          <w:szCs w:val="24"/>
        </w:rPr>
        <w:t xml:space="preserve"> radnika od čega </w:t>
      </w:r>
      <w:r w:rsidR="00594084">
        <w:rPr>
          <w:sz w:val="24"/>
          <w:szCs w:val="24"/>
        </w:rPr>
        <w:t>30</w:t>
      </w:r>
      <w:r w:rsidRPr="00594084">
        <w:rPr>
          <w:sz w:val="24"/>
          <w:szCs w:val="24"/>
        </w:rPr>
        <w:t xml:space="preserve"> čini vatrogasnu operativu.</w:t>
      </w:r>
      <w:r w:rsidR="008171BF" w:rsidRPr="00594084">
        <w:rPr>
          <w:sz w:val="24"/>
          <w:szCs w:val="24"/>
        </w:rPr>
        <w:t xml:space="preserve"> U tijeku sezone 6-9/2</w:t>
      </w:r>
      <w:r w:rsidR="00594084">
        <w:rPr>
          <w:sz w:val="24"/>
          <w:szCs w:val="24"/>
        </w:rPr>
        <w:t>5</w:t>
      </w:r>
      <w:r w:rsidR="008171BF" w:rsidRPr="00594084">
        <w:rPr>
          <w:sz w:val="24"/>
          <w:szCs w:val="24"/>
        </w:rPr>
        <w:t xml:space="preserve"> </w:t>
      </w:r>
      <w:r w:rsidR="00F01F2B" w:rsidRPr="00594084">
        <w:rPr>
          <w:sz w:val="24"/>
          <w:szCs w:val="24"/>
        </w:rPr>
        <w:t xml:space="preserve">bila su </w:t>
      </w:r>
      <w:r w:rsidR="008171BF" w:rsidRPr="00594084">
        <w:rPr>
          <w:sz w:val="24"/>
          <w:szCs w:val="24"/>
        </w:rPr>
        <w:t>zaposlena i tri sezonska radnika.</w:t>
      </w:r>
    </w:p>
    <w:p w14:paraId="631B8E1D" w14:textId="3327CF1E" w:rsidR="00F005C8" w:rsidRPr="00594084" w:rsidRDefault="00F005C8" w:rsidP="00D13B93">
      <w:pPr>
        <w:spacing w:after="0"/>
        <w:jc w:val="both"/>
        <w:rPr>
          <w:sz w:val="24"/>
          <w:szCs w:val="24"/>
        </w:rPr>
      </w:pPr>
    </w:p>
    <w:p w14:paraId="194190E9" w14:textId="037B2395" w:rsidR="00F005C8" w:rsidRDefault="004A40CE" w:rsidP="00D13B93">
      <w:pPr>
        <w:spacing w:after="0"/>
        <w:jc w:val="both"/>
        <w:rPr>
          <w:sz w:val="24"/>
          <w:szCs w:val="24"/>
        </w:rPr>
      </w:pPr>
      <w:r w:rsidRPr="00594084">
        <w:rPr>
          <w:sz w:val="24"/>
          <w:szCs w:val="24"/>
        </w:rPr>
        <w:t>Godišnji izvještaj o izvršenju financijskog plana sadrži:</w:t>
      </w:r>
    </w:p>
    <w:p w14:paraId="503C65A5" w14:textId="0A8F8519" w:rsidR="00C768D1" w:rsidRPr="00C768D1" w:rsidRDefault="00C768D1" w:rsidP="00D13B93">
      <w:pPr>
        <w:spacing w:after="0"/>
        <w:jc w:val="both"/>
        <w:rPr>
          <w:b/>
          <w:bCs/>
          <w:sz w:val="24"/>
          <w:szCs w:val="24"/>
        </w:rPr>
      </w:pPr>
      <w:r w:rsidRPr="00C768D1">
        <w:rPr>
          <w:b/>
          <w:bCs/>
          <w:sz w:val="24"/>
          <w:szCs w:val="24"/>
        </w:rPr>
        <w:tab/>
        <w:t>1. Sažetak djelokruga rada</w:t>
      </w:r>
    </w:p>
    <w:p w14:paraId="6BEB8C4A" w14:textId="5D41071A" w:rsidR="004A40CE" w:rsidRPr="00594084" w:rsidRDefault="004A40CE" w:rsidP="00605031">
      <w:pPr>
        <w:spacing w:after="120"/>
        <w:jc w:val="both"/>
        <w:rPr>
          <w:b/>
          <w:bCs/>
          <w:sz w:val="24"/>
          <w:szCs w:val="24"/>
        </w:rPr>
      </w:pPr>
      <w:r w:rsidRPr="00C768D1">
        <w:rPr>
          <w:b/>
          <w:bCs/>
          <w:sz w:val="24"/>
          <w:szCs w:val="24"/>
        </w:rPr>
        <w:tab/>
      </w:r>
      <w:r w:rsidR="00C768D1" w:rsidRPr="00C768D1">
        <w:rPr>
          <w:b/>
          <w:bCs/>
          <w:sz w:val="24"/>
          <w:szCs w:val="24"/>
        </w:rPr>
        <w:t>2</w:t>
      </w:r>
      <w:r w:rsidRPr="00594084">
        <w:rPr>
          <w:b/>
          <w:bCs/>
          <w:sz w:val="24"/>
          <w:szCs w:val="24"/>
        </w:rPr>
        <w:t>. Opći dio</w:t>
      </w:r>
    </w:p>
    <w:p w14:paraId="3BBE9847" w14:textId="2FC96E88" w:rsidR="004A40CE" w:rsidRPr="00594084" w:rsidRDefault="004A40CE" w:rsidP="00DF2EB5">
      <w:pPr>
        <w:pStyle w:val="Odlomakpopisa"/>
        <w:spacing w:after="0"/>
        <w:ind w:firstLine="696"/>
        <w:jc w:val="both"/>
        <w:rPr>
          <w:sz w:val="24"/>
          <w:szCs w:val="24"/>
        </w:rPr>
      </w:pPr>
      <w:r w:rsidRPr="00594084">
        <w:rPr>
          <w:sz w:val="24"/>
          <w:szCs w:val="24"/>
        </w:rPr>
        <w:t>-</w:t>
      </w:r>
      <w:r w:rsidR="00594084">
        <w:rPr>
          <w:sz w:val="24"/>
          <w:szCs w:val="24"/>
        </w:rPr>
        <w:t>S</w:t>
      </w:r>
      <w:r w:rsidRPr="00594084">
        <w:rPr>
          <w:sz w:val="24"/>
          <w:szCs w:val="24"/>
        </w:rPr>
        <w:t>ažetak Računa prihoda i rashoda i Računa financiranja</w:t>
      </w:r>
    </w:p>
    <w:p w14:paraId="3AED61CC" w14:textId="6E87D25F" w:rsidR="004A40CE" w:rsidRPr="00594084" w:rsidRDefault="004A40CE" w:rsidP="00DF2EB5">
      <w:pPr>
        <w:pStyle w:val="Odlomakpopisa"/>
        <w:spacing w:after="0"/>
        <w:ind w:firstLine="696"/>
        <w:jc w:val="both"/>
        <w:rPr>
          <w:sz w:val="24"/>
          <w:szCs w:val="24"/>
        </w:rPr>
      </w:pPr>
      <w:r w:rsidRPr="00594084">
        <w:rPr>
          <w:sz w:val="24"/>
          <w:szCs w:val="24"/>
        </w:rPr>
        <w:t>-Račun prihoda i rashoda</w:t>
      </w:r>
      <w:r w:rsidR="00DF2EB5" w:rsidRPr="00594084">
        <w:rPr>
          <w:sz w:val="24"/>
          <w:szCs w:val="24"/>
        </w:rPr>
        <w:t>:</w:t>
      </w:r>
    </w:p>
    <w:p w14:paraId="39B1A2AD" w14:textId="73D2A0C2" w:rsidR="00DF2EB5" w:rsidRPr="00594084" w:rsidRDefault="00DF2EB5" w:rsidP="00DF2EB5">
      <w:pPr>
        <w:pStyle w:val="Odlomakpopisa"/>
        <w:spacing w:after="0"/>
        <w:ind w:firstLine="696"/>
        <w:jc w:val="both"/>
        <w:rPr>
          <w:sz w:val="24"/>
          <w:szCs w:val="24"/>
        </w:rPr>
      </w:pPr>
      <w:r w:rsidRPr="00594084">
        <w:rPr>
          <w:sz w:val="24"/>
          <w:szCs w:val="24"/>
        </w:rPr>
        <w:tab/>
        <w:t>a)izvještaj o prihodima i rashodima prema ekonomskog klasifikaciji</w:t>
      </w:r>
    </w:p>
    <w:p w14:paraId="05DACEB9" w14:textId="490C4514" w:rsidR="00DF2EB5" w:rsidRPr="00594084" w:rsidRDefault="00DF2EB5" w:rsidP="00DF2EB5">
      <w:pPr>
        <w:pStyle w:val="Odlomakpopisa"/>
        <w:spacing w:after="0"/>
        <w:ind w:firstLine="696"/>
        <w:jc w:val="both"/>
        <w:rPr>
          <w:sz w:val="24"/>
          <w:szCs w:val="24"/>
        </w:rPr>
      </w:pPr>
      <w:r w:rsidRPr="00594084">
        <w:rPr>
          <w:sz w:val="24"/>
          <w:szCs w:val="24"/>
        </w:rPr>
        <w:tab/>
        <w:t>b) izvještaj o prihodima i rashodima prema izvorima financiranja</w:t>
      </w:r>
    </w:p>
    <w:p w14:paraId="2C9F165F" w14:textId="17D7F0D4" w:rsidR="00DF2EB5" w:rsidRPr="00594084" w:rsidRDefault="00DF2EB5" w:rsidP="00DF2EB5">
      <w:pPr>
        <w:pStyle w:val="Odlomakpopisa"/>
        <w:spacing w:after="0"/>
        <w:ind w:firstLine="696"/>
        <w:jc w:val="both"/>
        <w:rPr>
          <w:sz w:val="24"/>
          <w:szCs w:val="24"/>
        </w:rPr>
      </w:pPr>
      <w:r w:rsidRPr="00594084">
        <w:rPr>
          <w:sz w:val="24"/>
          <w:szCs w:val="24"/>
        </w:rPr>
        <w:tab/>
        <w:t>c) izvještaj o rashodima prema funkcijskoj klasifikaciji</w:t>
      </w:r>
    </w:p>
    <w:p w14:paraId="64DCD9C8" w14:textId="3C1A9B56" w:rsidR="004A40CE" w:rsidRPr="00594084" w:rsidRDefault="004A40CE" w:rsidP="00DF2EB5">
      <w:pPr>
        <w:pStyle w:val="Odlomakpopisa"/>
        <w:spacing w:after="0"/>
        <w:ind w:firstLine="696"/>
        <w:jc w:val="both"/>
        <w:rPr>
          <w:sz w:val="24"/>
          <w:szCs w:val="24"/>
        </w:rPr>
      </w:pPr>
      <w:r w:rsidRPr="00594084">
        <w:rPr>
          <w:sz w:val="24"/>
          <w:szCs w:val="24"/>
        </w:rPr>
        <w:t>-Račun financiranja</w:t>
      </w:r>
    </w:p>
    <w:p w14:paraId="2524924F" w14:textId="60505DB9" w:rsidR="004A40CE" w:rsidRPr="00594084" w:rsidRDefault="00C768D1" w:rsidP="00605031">
      <w:pPr>
        <w:pStyle w:val="Odlomakpopisa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4A40CE" w:rsidRPr="00594084">
        <w:rPr>
          <w:b/>
          <w:bCs/>
          <w:sz w:val="24"/>
          <w:szCs w:val="24"/>
        </w:rPr>
        <w:t>. Posebni dio</w:t>
      </w:r>
    </w:p>
    <w:p w14:paraId="398453E0" w14:textId="2F6550CC" w:rsidR="004A40CE" w:rsidRPr="00594084" w:rsidRDefault="004A40CE" w:rsidP="00DF2EB5">
      <w:pPr>
        <w:pStyle w:val="Odlomakpopisa"/>
        <w:spacing w:after="0"/>
        <w:ind w:firstLine="696"/>
        <w:jc w:val="both"/>
        <w:rPr>
          <w:sz w:val="24"/>
          <w:szCs w:val="24"/>
        </w:rPr>
      </w:pPr>
      <w:r w:rsidRPr="00594084">
        <w:rPr>
          <w:sz w:val="24"/>
          <w:szCs w:val="24"/>
        </w:rPr>
        <w:t>-</w:t>
      </w:r>
      <w:r w:rsidR="00594084">
        <w:rPr>
          <w:sz w:val="24"/>
          <w:szCs w:val="24"/>
        </w:rPr>
        <w:t>I</w:t>
      </w:r>
      <w:r w:rsidRPr="00594084">
        <w:rPr>
          <w:sz w:val="24"/>
          <w:szCs w:val="24"/>
        </w:rPr>
        <w:t>zvještaj po programskoj klasifikaciji</w:t>
      </w:r>
    </w:p>
    <w:p w14:paraId="10299CB1" w14:textId="58EC612A" w:rsidR="004A40CE" w:rsidRPr="00594084" w:rsidRDefault="00C768D1" w:rsidP="00605031">
      <w:pPr>
        <w:pStyle w:val="Odlomakpopisa"/>
        <w:spacing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4A40CE" w:rsidRPr="00594084">
        <w:rPr>
          <w:b/>
          <w:bCs/>
          <w:sz w:val="24"/>
          <w:szCs w:val="24"/>
        </w:rPr>
        <w:t>. Obrazloženje općeg i posebnog dijela</w:t>
      </w:r>
    </w:p>
    <w:p w14:paraId="660E40A7" w14:textId="7CF767E8" w:rsidR="00DF2EB5" w:rsidRPr="00594084" w:rsidRDefault="00C768D1" w:rsidP="00605031">
      <w:pPr>
        <w:pStyle w:val="Odlomakpopisa"/>
        <w:spacing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DF2EB5" w:rsidRPr="00594084">
        <w:rPr>
          <w:b/>
          <w:bCs/>
          <w:sz w:val="24"/>
          <w:szCs w:val="24"/>
        </w:rPr>
        <w:t>. Posebne izvještaje</w:t>
      </w:r>
    </w:p>
    <w:p w14:paraId="2E3924C9" w14:textId="1C21E5B9" w:rsidR="00DF2EB5" w:rsidRPr="00594084" w:rsidRDefault="00DF2EB5" w:rsidP="00DF2EB5">
      <w:pPr>
        <w:pStyle w:val="Odlomakpopisa"/>
        <w:spacing w:after="0"/>
        <w:ind w:firstLine="696"/>
        <w:jc w:val="both"/>
        <w:rPr>
          <w:sz w:val="24"/>
          <w:szCs w:val="24"/>
        </w:rPr>
      </w:pPr>
      <w:r w:rsidRPr="00594084">
        <w:rPr>
          <w:sz w:val="24"/>
          <w:szCs w:val="24"/>
        </w:rPr>
        <w:t>-</w:t>
      </w:r>
      <w:r w:rsidR="00594084">
        <w:rPr>
          <w:sz w:val="24"/>
          <w:szCs w:val="24"/>
        </w:rPr>
        <w:t>I</w:t>
      </w:r>
      <w:r w:rsidRPr="00594084">
        <w:rPr>
          <w:sz w:val="24"/>
          <w:szCs w:val="24"/>
        </w:rPr>
        <w:t>zvještaj o stanju potraživanja i dospjelih obveza</w:t>
      </w:r>
    </w:p>
    <w:p w14:paraId="31FF5D3E" w14:textId="77777777" w:rsidR="00DF2EB5" w:rsidRPr="00594084" w:rsidRDefault="00DF2EB5" w:rsidP="004A40CE">
      <w:pPr>
        <w:pStyle w:val="Odlomakpopisa"/>
        <w:spacing w:after="0"/>
        <w:jc w:val="both"/>
        <w:rPr>
          <w:sz w:val="24"/>
          <w:szCs w:val="24"/>
        </w:rPr>
      </w:pPr>
    </w:p>
    <w:p w14:paraId="3F1AFB31" w14:textId="77777777" w:rsidR="004A40CE" w:rsidRDefault="004A40CE" w:rsidP="004A40CE">
      <w:pPr>
        <w:pStyle w:val="Odlomakpopisa"/>
        <w:spacing w:after="0"/>
        <w:jc w:val="both"/>
      </w:pPr>
    </w:p>
    <w:p w14:paraId="55784B1C" w14:textId="77777777" w:rsidR="00605031" w:rsidRDefault="00605031" w:rsidP="004A40CE">
      <w:pPr>
        <w:pStyle w:val="Odlomakpopisa"/>
        <w:spacing w:after="0"/>
        <w:jc w:val="both"/>
      </w:pPr>
    </w:p>
    <w:p w14:paraId="5B0E9EC6" w14:textId="77777777" w:rsidR="00605031" w:rsidRDefault="00605031" w:rsidP="004A40CE">
      <w:pPr>
        <w:pStyle w:val="Odlomakpopisa"/>
        <w:spacing w:after="0"/>
        <w:jc w:val="both"/>
      </w:pPr>
    </w:p>
    <w:p w14:paraId="7601BBA6" w14:textId="77777777" w:rsidR="00605031" w:rsidRDefault="00605031" w:rsidP="004A40CE">
      <w:pPr>
        <w:pStyle w:val="Odlomakpopisa"/>
        <w:spacing w:after="0"/>
        <w:jc w:val="both"/>
      </w:pPr>
    </w:p>
    <w:p w14:paraId="0B5F5676" w14:textId="77777777" w:rsidR="00605031" w:rsidRDefault="00605031" w:rsidP="004A40CE">
      <w:pPr>
        <w:pStyle w:val="Odlomakpopisa"/>
        <w:spacing w:after="0"/>
        <w:jc w:val="both"/>
      </w:pPr>
    </w:p>
    <w:p w14:paraId="72DFB7F0" w14:textId="77777777" w:rsidR="00605031" w:rsidRDefault="00605031" w:rsidP="004A40CE">
      <w:pPr>
        <w:pStyle w:val="Odlomakpopisa"/>
        <w:spacing w:after="0"/>
        <w:jc w:val="both"/>
      </w:pPr>
    </w:p>
    <w:p w14:paraId="24EC9C87" w14:textId="77777777" w:rsidR="00605031" w:rsidRDefault="00605031" w:rsidP="004A40CE">
      <w:pPr>
        <w:pStyle w:val="Odlomakpopisa"/>
        <w:spacing w:after="0"/>
        <w:jc w:val="both"/>
      </w:pPr>
    </w:p>
    <w:p w14:paraId="6EAAA074" w14:textId="77777777" w:rsidR="00605031" w:rsidRDefault="00605031" w:rsidP="004A40CE">
      <w:pPr>
        <w:pStyle w:val="Odlomakpopisa"/>
        <w:spacing w:after="0"/>
        <w:jc w:val="both"/>
      </w:pPr>
    </w:p>
    <w:p w14:paraId="48644C10" w14:textId="5570C75E" w:rsidR="00F005C8" w:rsidRPr="00C768D1" w:rsidRDefault="00F005C8" w:rsidP="00C768D1">
      <w:pPr>
        <w:pStyle w:val="Odlomakpopisa"/>
        <w:numPr>
          <w:ilvl w:val="0"/>
          <w:numId w:val="2"/>
        </w:numPr>
        <w:spacing w:after="0"/>
        <w:jc w:val="both"/>
        <w:rPr>
          <w:b/>
          <w:bCs/>
          <w:color w:val="385623" w:themeColor="accent6" w:themeShade="80"/>
          <w:sz w:val="24"/>
          <w:szCs w:val="24"/>
        </w:rPr>
      </w:pPr>
      <w:r w:rsidRPr="00C768D1">
        <w:rPr>
          <w:b/>
          <w:bCs/>
          <w:color w:val="385623" w:themeColor="accent6" w:themeShade="80"/>
          <w:sz w:val="24"/>
          <w:szCs w:val="24"/>
        </w:rPr>
        <w:t>OPĆI DIO</w:t>
      </w:r>
    </w:p>
    <w:p w14:paraId="2DA54175" w14:textId="77777777" w:rsidR="00DF2EB5" w:rsidRPr="001F7ACB" w:rsidRDefault="00DF2EB5" w:rsidP="00DF2EB5">
      <w:pPr>
        <w:pStyle w:val="Odlomakpopisa"/>
        <w:spacing w:after="0"/>
        <w:jc w:val="both"/>
        <w:rPr>
          <w:b/>
          <w:bCs/>
          <w:color w:val="2E74B5" w:themeColor="accent5" w:themeShade="BF"/>
          <w:sz w:val="24"/>
          <w:szCs w:val="24"/>
        </w:rPr>
      </w:pPr>
    </w:p>
    <w:p w14:paraId="25638BF2" w14:textId="1395C860" w:rsidR="00241AF5" w:rsidRPr="00594084" w:rsidRDefault="002015D0" w:rsidP="00F005C8">
      <w:pPr>
        <w:pStyle w:val="Odlomakpopisa"/>
        <w:numPr>
          <w:ilvl w:val="1"/>
          <w:numId w:val="2"/>
        </w:numPr>
        <w:spacing w:after="0"/>
        <w:jc w:val="both"/>
        <w:rPr>
          <w:b/>
          <w:bCs/>
          <w:color w:val="000000" w:themeColor="text1"/>
          <w:sz w:val="24"/>
          <w:szCs w:val="24"/>
        </w:rPr>
      </w:pPr>
      <w:r w:rsidRPr="00594084">
        <w:rPr>
          <w:b/>
          <w:bCs/>
          <w:color w:val="000000" w:themeColor="text1"/>
          <w:sz w:val="24"/>
          <w:szCs w:val="24"/>
        </w:rPr>
        <w:t xml:space="preserve"> </w:t>
      </w:r>
      <w:r w:rsidR="00193F8F" w:rsidRPr="00594084">
        <w:rPr>
          <w:b/>
          <w:bCs/>
          <w:color w:val="000000" w:themeColor="text1"/>
          <w:sz w:val="24"/>
          <w:szCs w:val="24"/>
        </w:rPr>
        <w:t>SAŽETAK OPĆEG DIJELA</w:t>
      </w:r>
    </w:p>
    <w:p w14:paraId="5A1B274B" w14:textId="77777777" w:rsidR="00193F8F" w:rsidRPr="00594084" w:rsidRDefault="00193F8F" w:rsidP="00193F8F">
      <w:pPr>
        <w:spacing w:after="0"/>
        <w:ind w:left="360"/>
        <w:jc w:val="both"/>
        <w:rPr>
          <w:b/>
          <w:bCs/>
          <w:sz w:val="24"/>
          <w:szCs w:val="24"/>
        </w:rPr>
      </w:pPr>
    </w:p>
    <w:p w14:paraId="728BB345" w14:textId="71D6A55F" w:rsidR="00912DF4" w:rsidRPr="00594084" w:rsidRDefault="00F005C8" w:rsidP="00F005C8">
      <w:pPr>
        <w:spacing w:after="0"/>
        <w:jc w:val="both"/>
        <w:rPr>
          <w:sz w:val="24"/>
          <w:szCs w:val="24"/>
        </w:rPr>
      </w:pPr>
      <w:r w:rsidRPr="00594084">
        <w:rPr>
          <w:sz w:val="24"/>
          <w:szCs w:val="24"/>
        </w:rPr>
        <w:t>Proračun Javne vatrogasne postrojbe Centar za zaštitu od požara Poreč za 202</w:t>
      </w:r>
      <w:r w:rsidR="00594084" w:rsidRPr="00594084">
        <w:rPr>
          <w:sz w:val="24"/>
          <w:szCs w:val="24"/>
        </w:rPr>
        <w:t>5</w:t>
      </w:r>
      <w:r w:rsidRPr="00594084">
        <w:rPr>
          <w:sz w:val="24"/>
          <w:szCs w:val="24"/>
        </w:rPr>
        <w:t>. godinu planiran je i ostvaren kako slijedi:</w:t>
      </w:r>
    </w:p>
    <w:p w14:paraId="64AB608B" w14:textId="77777777" w:rsidR="00BA4C41" w:rsidRDefault="00BA4C41" w:rsidP="00F005C8">
      <w:pPr>
        <w:spacing w:after="0"/>
        <w:jc w:val="both"/>
      </w:pPr>
    </w:p>
    <w:p w14:paraId="1C9008F7" w14:textId="4038B783" w:rsidR="00BA4C41" w:rsidRDefault="00594084" w:rsidP="00F005C8">
      <w:pPr>
        <w:spacing w:after="0"/>
        <w:jc w:val="both"/>
      </w:pPr>
      <w:r w:rsidRPr="00594084">
        <w:rPr>
          <w:noProof/>
        </w:rPr>
        <w:drawing>
          <wp:inline distT="0" distB="0" distL="0" distR="0" wp14:anchorId="05A67ACF" wp14:editId="6A89079E">
            <wp:extent cx="6587096" cy="3324225"/>
            <wp:effectExtent l="0" t="0" r="4445" b="0"/>
            <wp:docPr id="176830502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439" cy="3324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31D52" w14:textId="77777777" w:rsidR="00BA4C41" w:rsidRDefault="00BA4C41" w:rsidP="00F005C8">
      <w:pPr>
        <w:spacing w:after="0"/>
        <w:jc w:val="both"/>
      </w:pPr>
    </w:p>
    <w:p w14:paraId="4A9B1084" w14:textId="35900B33" w:rsidR="00DF2EB5" w:rsidRDefault="00DF2EB5" w:rsidP="0011627D">
      <w:pPr>
        <w:pStyle w:val="Odlomakpopisa"/>
        <w:numPr>
          <w:ilvl w:val="1"/>
          <w:numId w:val="6"/>
        </w:numPr>
        <w:rPr>
          <w:b/>
          <w:bCs/>
        </w:rPr>
      </w:pPr>
      <w:r>
        <w:rPr>
          <w:b/>
          <w:bCs/>
        </w:rPr>
        <w:t xml:space="preserve"> RAČUN PRIHODA I RASHODA</w:t>
      </w:r>
    </w:p>
    <w:p w14:paraId="20FF1CDC" w14:textId="1D044BC2" w:rsidR="008D5C0C" w:rsidRDefault="00DF2EB5" w:rsidP="002015D0">
      <w:pPr>
        <w:pStyle w:val="Odlomakpopisa"/>
        <w:numPr>
          <w:ilvl w:val="2"/>
          <w:numId w:val="6"/>
        </w:numPr>
        <w:rPr>
          <w:b/>
          <w:bCs/>
        </w:rPr>
      </w:pPr>
      <w:r>
        <w:rPr>
          <w:b/>
          <w:bCs/>
        </w:rPr>
        <w:t>Izvještaj o prihodima i rashodima prema ekonomskog klasifikaciji</w:t>
      </w:r>
    </w:p>
    <w:p w14:paraId="54F317D8" w14:textId="7B1B2EAB" w:rsidR="009E49D5" w:rsidRDefault="00594084" w:rsidP="009E49D5">
      <w:pPr>
        <w:rPr>
          <w:noProof/>
        </w:rPr>
      </w:pPr>
      <w:r w:rsidRPr="00594084">
        <w:rPr>
          <w:noProof/>
        </w:rPr>
        <w:drawing>
          <wp:inline distT="0" distB="0" distL="0" distR="0" wp14:anchorId="248DD716" wp14:editId="19ED3CC8">
            <wp:extent cx="6600948" cy="3200400"/>
            <wp:effectExtent l="0" t="0" r="9525" b="0"/>
            <wp:docPr id="187080167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3064" cy="3201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8DCE8" w14:textId="54241E92" w:rsidR="00BA4C41" w:rsidRDefault="00594084" w:rsidP="009E49D5">
      <w:pPr>
        <w:rPr>
          <w:b/>
          <w:bCs/>
        </w:rPr>
      </w:pPr>
      <w:r w:rsidRPr="00594084">
        <w:rPr>
          <w:noProof/>
        </w:rPr>
        <w:lastRenderedPageBreak/>
        <w:drawing>
          <wp:inline distT="0" distB="0" distL="0" distR="0" wp14:anchorId="5D08D5A8" wp14:editId="667730B5">
            <wp:extent cx="6408420" cy="388620"/>
            <wp:effectExtent l="0" t="0" r="0" b="0"/>
            <wp:docPr id="1899741599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352" cy="394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BB7E8" w14:textId="48F5F04D" w:rsidR="009E49D5" w:rsidRPr="009E49D5" w:rsidRDefault="00594084" w:rsidP="009E49D5">
      <w:pPr>
        <w:rPr>
          <w:b/>
          <w:bCs/>
        </w:rPr>
      </w:pPr>
      <w:r w:rsidRPr="00594084">
        <w:rPr>
          <w:noProof/>
        </w:rPr>
        <w:drawing>
          <wp:inline distT="0" distB="0" distL="0" distR="0" wp14:anchorId="22BFA78F" wp14:editId="15EB0DF4">
            <wp:extent cx="6467475" cy="6926966"/>
            <wp:effectExtent l="0" t="0" r="0" b="7620"/>
            <wp:docPr id="1195772509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928" cy="6928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DC830" w14:textId="4E6BDF84" w:rsidR="00D33175" w:rsidRPr="00A23A00" w:rsidRDefault="004122E0" w:rsidP="00193F8F">
      <w:pPr>
        <w:jc w:val="both"/>
        <w:rPr>
          <w:sz w:val="24"/>
          <w:szCs w:val="24"/>
        </w:rPr>
      </w:pPr>
      <w:bookmarkStart w:id="0" w:name="_Hlk129870843"/>
      <w:r w:rsidRPr="00A23A00">
        <w:rPr>
          <w:sz w:val="24"/>
          <w:szCs w:val="24"/>
        </w:rPr>
        <w:t>U Tablici broj 2.2.</w:t>
      </w:r>
      <w:r w:rsidR="00DF2EB5" w:rsidRPr="00A23A00">
        <w:rPr>
          <w:sz w:val="24"/>
          <w:szCs w:val="24"/>
        </w:rPr>
        <w:t>1.</w:t>
      </w:r>
      <w:r w:rsidRPr="00A23A00">
        <w:rPr>
          <w:sz w:val="24"/>
          <w:szCs w:val="24"/>
        </w:rPr>
        <w:t xml:space="preserve"> daje se pregled ostvarenih prihoda i primitaka</w:t>
      </w:r>
      <w:r w:rsidR="00330FFD" w:rsidRPr="00A23A00">
        <w:rPr>
          <w:sz w:val="24"/>
          <w:szCs w:val="24"/>
        </w:rPr>
        <w:t>, rashoda i izdataka</w:t>
      </w:r>
      <w:r w:rsidRPr="00A23A00">
        <w:rPr>
          <w:sz w:val="24"/>
          <w:szCs w:val="24"/>
        </w:rPr>
        <w:t xml:space="preserve"> u </w:t>
      </w:r>
      <w:r w:rsidR="009E49D5" w:rsidRPr="00A23A00">
        <w:rPr>
          <w:sz w:val="24"/>
          <w:szCs w:val="24"/>
        </w:rPr>
        <w:t>razdoblju od 1.1. do 3</w:t>
      </w:r>
      <w:r w:rsidR="00BA4C41" w:rsidRPr="00A23A00">
        <w:rPr>
          <w:sz w:val="24"/>
          <w:szCs w:val="24"/>
        </w:rPr>
        <w:t>1</w:t>
      </w:r>
      <w:r w:rsidR="009E49D5" w:rsidRPr="00A23A00">
        <w:rPr>
          <w:sz w:val="24"/>
          <w:szCs w:val="24"/>
        </w:rPr>
        <w:t>.</w:t>
      </w:r>
      <w:r w:rsidR="00BA4C41" w:rsidRPr="00A23A00">
        <w:rPr>
          <w:sz w:val="24"/>
          <w:szCs w:val="24"/>
        </w:rPr>
        <w:t>12</w:t>
      </w:r>
      <w:r w:rsidR="009E49D5" w:rsidRPr="00A23A00">
        <w:rPr>
          <w:sz w:val="24"/>
          <w:szCs w:val="24"/>
        </w:rPr>
        <w:t>.202</w:t>
      </w:r>
      <w:r w:rsidR="00F511F5" w:rsidRPr="00A23A00">
        <w:rPr>
          <w:sz w:val="24"/>
          <w:szCs w:val="24"/>
        </w:rPr>
        <w:t>5</w:t>
      </w:r>
      <w:r w:rsidR="009E49D5" w:rsidRPr="00A23A00">
        <w:rPr>
          <w:sz w:val="24"/>
          <w:szCs w:val="24"/>
        </w:rPr>
        <w:t>.</w:t>
      </w:r>
      <w:r w:rsidRPr="00A23A00">
        <w:rPr>
          <w:sz w:val="24"/>
          <w:szCs w:val="24"/>
        </w:rPr>
        <w:t xml:space="preserve"> god. s usporednim pokazateljima ostvarenja prihoda i primitaka</w:t>
      </w:r>
      <w:r w:rsidR="00330FFD" w:rsidRPr="00A23A00">
        <w:rPr>
          <w:sz w:val="24"/>
          <w:szCs w:val="24"/>
        </w:rPr>
        <w:t>, rashoda i izdataka</w:t>
      </w:r>
      <w:r w:rsidRPr="00A23A00">
        <w:rPr>
          <w:sz w:val="24"/>
          <w:szCs w:val="24"/>
        </w:rPr>
        <w:t xml:space="preserve"> u 202</w:t>
      </w:r>
      <w:r w:rsidR="00F511F5" w:rsidRPr="00A23A00">
        <w:rPr>
          <w:sz w:val="24"/>
          <w:szCs w:val="24"/>
        </w:rPr>
        <w:t>4</w:t>
      </w:r>
      <w:r w:rsidRPr="00A23A00">
        <w:rPr>
          <w:sz w:val="24"/>
          <w:szCs w:val="24"/>
        </w:rPr>
        <w:t xml:space="preserve">. godini po ekonomskoj klasifikaciji. </w:t>
      </w:r>
      <w:r w:rsidR="00F511F5" w:rsidRPr="00A23A00">
        <w:rPr>
          <w:sz w:val="24"/>
          <w:szCs w:val="24"/>
        </w:rPr>
        <w:t xml:space="preserve">Ukupni rashodi poslovanja u odnosu na 2024.g. povećani su za 6,31%, rashodi za zaposlene su povećani 9,56%, dok se u materijalnim rashodima promijenio način iskazivanja rashoda za obrazovanje koji su sa računa 372 prenijeti na račun 3213 pa su ukupni materijalni rashodi u odnosu na 2024.g. smanjeni za 8,2%. Materijalni rashodi </w:t>
      </w:r>
      <w:r w:rsidR="0018379D" w:rsidRPr="00A23A00">
        <w:rPr>
          <w:sz w:val="24"/>
          <w:szCs w:val="24"/>
        </w:rPr>
        <w:t xml:space="preserve">ovise o potrebama ustanove za </w:t>
      </w:r>
      <w:r w:rsidR="0018379D" w:rsidRPr="00A23A00">
        <w:rPr>
          <w:sz w:val="24"/>
          <w:szCs w:val="24"/>
        </w:rPr>
        <w:lastRenderedPageBreak/>
        <w:t>nabavom materijala i usluga za održavanje</w:t>
      </w:r>
      <w:r w:rsidR="0018379D">
        <w:t xml:space="preserve"> </w:t>
      </w:r>
      <w:r w:rsidR="0018379D" w:rsidRPr="00A23A00">
        <w:rPr>
          <w:sz w:val="24"/>
          <w:szCs w:val="24"/>
        </w:rPr>
        <w:t xml:space="preserve">opreme i vozila. Rashodi za nabavu nefinancijske imovine su značajno veći u odnosu na 2024.g radi nabave novog zapovjednog vozila i radi ulaganja u zgradu (zamjena stolarije). </w:t>
      </w:r>
    </w:p>
    <w:p w14:paraId="6D858B34" w14:textId="18858885" w:rsidR="00A23A00" w:rsidRPr="00A23A00" w:rsidRDefault="0018379D" w:rsidP="00193F8F">
      <w:pPr>
        <w:jc w:val="both"/>
        <w:rPr>
          <w:sz w:val="24"/>
          <w:szCs w:val="24"/>
        </w:rPr>
      </w:pPr>
      <w:r w:rsidRPr="00A23A00">
        <w:rPr>
          <w:sz w:val="24"/>
          <w:szCs w:val="24"/>
        </w:rPr>
        <w:t xml:space="preserve">Prihodi prate rashode poslovanja, povećane su sve vrste prihoda. Pomoći od općinskih proračuna i </w:t>
      </w:r>
      <w:r w:rsidR="00A23A00" w:rsidRPr="00A23A00">
        <w:rPr>
          <w:sz w:val="24"/>
          <w:szCs w:val="24"/>
        </w:rPr>
        <w:t xml:space="preserve">prihodi od </w:t>
      </w:r>
      <w:r w:rsidRPr="00A23A00">
        <w:rPr>
          <w:sz w:val="24"/>
          <w:szCs w:val="24"/>
        </w:rPr>
        <w:t xml:space="preserve">nadležnog proračuna </w:t>
      </w:r>
      <w:r w:rsidR="00A23A00" w:rsidRPr="00A23A00">
        <w:rPr>
          <w:sz w:val="24"/>
          <w:szCs w:val="24"/>
        </w:rPr>
        <w:t>vezani su za sporazum o osnivanju, a u odnosu na realizirane rashode. Prihodi po posebnim propisima su uvećana prema Financijskom planu Područne vatrogasne zajednice koja se financira temeljem čl. 111. i 112. Zakona o vatrogastvu. Prihodi od pruženih usluga su povećana jer JVP pruža usluge spajanja na vatrodojavni sustav, koja mreža se širi.</w:t>
      </w:r>
    </w:p>
    <w:bookmarkEnd w:id="0"/>
    <w:p w14:paraId="613C693A" w14:textId="77777777" w:rsidR="00A23A00" w:rsidRDefault="00A23A00" w:rsidP="00193F8F">
      <w:pPr>
        <w:spacing w:after="0"/>
        <w:jc w:val="both"/>
        <w:rPr>
          <w:b/>
          <w:bCs/>
        </w:rPr>
      </w:pPr>
    </w:p>
    <w:p w14:paraId="162DDC13" w14:textId="0FD10869" w:rsidR="000975B0" w:rsidRDefault="00960CA8" w:rsidP="00193F8F">
      <w:pPr>
        <w:spacing w:after="0"/>
        <w:jc w:val="both"/>
        <w:rPr>
          <w:b/>
          <w:bCs/>
        </w:rPr>
      </w:pPr>
      <w:r w:rsidRPr="00960CA8">
        <w:rPr>
          <w:b/>
          <w:bCs/>
        </w:rPr>
        <w:t>2.</w:t>
      </w:r>
      <w:r w:rsidR="00DF2EB5">
        <w:rPr>
          <w:b/>
          <w:bCs/>
        </w:rPr>
        <w:t>2</w:t>
      </w:r>
      <w:r w:rsidR="0064669D">
        <w:rPr>
          <w:b/>
          <w:bCs/>
        </w:rPr>
        <w:t>.</w:t>
      </w:r>
      <w:r w:rsidR="00DF2EB5">
        <w:rPr>
          <w:b/>
          <w:bCs/>
        </w:rPr>
        <w:t>2. Izvještaj o prihodima i rashodima prema izvorima financiranja</w:t>
      </w:r>
    </w:p>
    <w:p w14:paraId="1784A3A0" w14:textId="48988AD5" w:rsidR="00526643" w:rsidRDefault="00526643" w:rsidP="00193F8F">
      <w:pPr>
        <w:spacing w:after="0"/>
        <w:jc w:val="both"/>
        <w:rPr>
          <w:b/>
          <w:bCs/>
        </w:rPr>
      </w:pPr>
    </w:p>
    <w:p w14:paraId="1F12E738" w14:textId="41B8A574" w:rsidR="00526643" w:rsidRDefault="00A23A00" w:rsidP="00193F8F">
      <w:pPr>
        <w:spacing w:after="0"/>
        <w:jc w:val="both"/>
        <w:rPr>
          <w:b/>
          <w:bCs/>
        </w:rPr>
      </w:pPr>
      <w:r w:rsidRPr="00A23A00">
        <w:rPr>
          <w:noProof/>
        </w:rPr>
        <w:drawing>
          <wp:inline distT="0" distB="0" distL="0" distR="0" wp14:anchorId="74B2CCBE" wp14:editId="2AB3E53B">
            <wp:extent cx="6538953" cy="5057775"/>
            <wp:effectExtent l="0" t="0" r="0" b="0"/>
            <wp:docPr id="643299821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320" cy="5059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EDE7F" w14:textId="745BA283" w:rsidR="00526643" w:rsidRDefault="00526643" w:rsidP="00193F8F">
      <w:pPr>
        <w:spacing w:after="0"/>
        <w:jc w:val="both"/>
        <w:rPr>
          <w:b/>
          <w:bCs/>
        </w:rPr>
      </w:pPr>
    </w:p>
    <w:p w14:paraId="3D518DF5" w14:textId="45B9412F" w:rsidR="00960CA8" w:rsidRPr="005973E0" w:rsidRDefault="00960CA8" w:rsidP="00960CA8">
      <w:pPr>
        <w:jc w:val="both"/>
        <w:rPr>
          <w:sz w:val="24"/>
          <w:szCs w:val="24"/>
        </w:rPr>
      </w:pPr>
      <w:r w:rsidRPr="005973E0">
        <w:rPr>
          <w:sz w:val="24"/>
          <w:szCs w:val="24"/>
        </w:rPr>
        <w:t>U Tablici broj 2.</w:t>
      </w:r>
      <w:r w:rsidR="00DF2EB5" w:rsidRPr="005973E0">
        <w:rPr>
          <w:sz w:val="24"/>
          <w:szCs w:val="24"/>
        </w:rPr>
        <w:t>2</w:t>
      </w:r>
      <w:r w:rsidRPr="005973E0">
        <w:rPr>
          <w:sz w:val="24"/>
          <w:szCs w:val="24"/>
        </w:rPr>
        <w:t>.</w:t>
      </w:r>
      <w:r w:rsidR="00DF2EB5" w:rsidRPr="005973E0">
        <w:rPr>
          <w:sz w:val="24"/>
          <w:szCs w:val="24"/>
        </w:rPr>
        <w:t>2</w:t>
      </w:r>
      <w:r w:rsidRPr="005973E0">
        <w:rPr>
          <w:sz w:val="24"/>
          <w:szCs w:val="24"/>
        </w:rPr>
        <w:t>. daje se pregled ostvarenih prihoda i primitaka u 202</w:t>
      </w:r>
      <w:r w:rsidR="005973E0">
        <w:rPr>
          <w:sz w:val="24"/>
          <w:szCs w:val="24"/>
        </w:rPr>
        <w:t>5</w:t>
      </w:r>
      <w:r w:rsidRPr="005973E0">
        <w:rPr>
          <w:sz w:val="24"/>
          <w:szCs w:val="24"/>
        </w:rPr>
        <w:t>. god. s usporednim pokazateljima ostvarenja prihoda i primitaka u 202</w:t>
      </w:r>
      <w:r w:rsidR="005973E0">
        <w:rPr>
          <w:sz w:val="24"/>
          <w:szCs w:val="24"/>
        </w:rPr>
        <w:t>4</w:t>
      </w:r>
      <w:r w:rsidRPr="005973E0">
        <w:rPr>
          <w:sz w:val="24"/>
          <w:szCs w:val="24"/>
        </w:rPr>
        <w:t xml:space="preserve">. godini po izvorima financiranja. </w:t>
      </w:r>
    </w:p>
    <w:p w14:paraId="42BF94A7" w14:textId="4D1B684D" w:rsidR="000E0A92" w:rsidRPr="005973E0" w:rsidRDefault="00583F23" w:rsidP="000E0A92">
      <w:pPr>
        <w:jc w:val="both"/>
        <w:rPr>
          <w:sz w:val="24"/>
          <w:szCs w:val="24"/>
        </w:rPr>
      </w:pPr>
      <w:r w:rsidRPr="005973E0">
        <w:rPr>
          <w:sz w:val="24"/>
          <w:szCs w:val="24"/>
        </w:rPr>
        <w:t>Prikazani su i</w:t>
      </w:r>
      <w:r w:rsidR="000E0A92" w:rsidRPr="005973E0">
        <w:rPr>
          <w:sz w:val="24"/>
          <w:szCs w:val="24"/>
        </w:rPr>
        <w:t xml:space="preserve"> ostvareni </w:t>
      </w:r>
      <w:r w:rsidR="00960CA8" w:rsidRPr="005973E0">
        <w:rPr>
          <w:sz w:val="24"/>
          <w:szCs w:val="24"/>
        </w:rPr>
        <w:t>rashod</w:t>
      </w:r>
      <w:r w:rsidRPr="005973E0">
        <w:rPr>
          <w:sz w:val="24"/>
          <w:szCs w:val="24"/>
        </w:rPr>
        <w:t>i</w:t>
      </w:r>
      <w:r w:rsidR="00960CA8" w:rsidRPr="005973E0">
        <w:rPr>
          <w:sz w:val="24"/>
          <w:szCs w:val="24"/>
        </w:rPr>
        <w:t xml:space="preserve"> i izda</w:t>
      </w:r>
      <w:r w:rsidRPr="005973E0">
        <w:rPr>
          <w:sz w:val="24"/>
          <w:szCs w:val="24"/>
        </w:rPr>
        <w:t>ci</w:t>
      </w:r>
      <w:r w:rsidR="000E0A92" w:rsidRPr="005973E0">
        <w:rPr>
          <w:sz w:val="24"/>
          <w:szCs w:val="24"/>
        </w:rPr>
        <w:t xml:space="preserve"> u 202</w:t>
      </w:r>
      <w:r w:rsidR="005973E0">
        <w:rPr>
          <w:sz w:val="24"/>
          <w:szCs w:val="24"/>
        </w:rPr>
        <w:t>5</w:t>
      </w:r>
      <w:r w:rsidR="000E0A92" w:rsidRPr="005973E0">
        <w:rPr>
          <w:sz w:val="24"/>
          <w:szCs w:val="24"/>
        </w:rPr>
        <w:t xml:space="preserve">. god. s usporednim pokazateljima ostvarenja </w:t>
      </w:r>
      <w:r w:rsidR="00960CA8" w:rsidRPr="005973E0">
        <w:rPr>
          <w:sz w:val="24"/>
          <w:szCs w:val="24"/>
        </w:rPr>
        <w:t>rashoda i izdataka</w:t>
      </w:r>
      <w:r w:rsidR="000E0A92" w:rsidRPr="005973E0">
        <w:rPr>
          <w:sz w:val="24"/>
          <w:szCs w:val="24"/>
        </w:rPr>
        <w:t xml:space="preserve"> u 202</w:t>
      </w:r>
      <w:r w:rsidR="005973E0">
        <w:rPr>
          <w:sz w:val="24"/>
          <w:szCs w:val="24"/>
        </w:rPr>
        <w:t>4</w:t>
      </w:r>
      <w:r w:rsidR="000E0A92" w:rsidRPr="005973E0">
        <w:rPr>
          <w:sz w:val="24"/>
          <w:szCs w:val="24"/>
        </w:rPr>
        <w:t xml:space="preserve">. godini po izvorima financiranja. </w:t>
      </w:r>
    </w:p>
    <w:p w14:paraId="152E1BB2" w14:textId="77777777" w:rsidR="00FF4DF5" w:rsidRDefault="00FF4DF5" w:rsidP="000E0A92">
      <w:pPr>
        <w:jc w:val="both"/>
      </w:pPr>
    </w:p>
    <w:p w14:paraId="65E93CE2" w14:textId="77777777" w:rsidR="005973E0" w:rsidRDefault="005973E0" w:rsidP="00193F8F">
      <w:pPr>
        <w:spacing w:after="0"/>
        <w:jc w:val="both"/>
        <w:rPr>
          <w:b/>
          <w:bCs/>
        </w:rPr>
      </w:pPr>
    </w:p>
    <w:p w14:paraId="73A6993F" w14:textId="390DEA7B" w:rsidR="007F0A90" w:rsidRDefault="00583F23" w:rsidP="00193F8F">
      <w:pPr>
        <w:spacing w:after="0"/>
        <w:jc w:val="both"/>
        <w:rPr>
          <w:b/>
          <w:bCs/>
        </w:rPr>
      </w:pPr>
      <w:r>
        <w:rPr>
          <w:b/>
          <w:bCs/>
        </w:rPr>
        <w:t>2.2.3. Izvještaj o rashodima prema funkcijskoj klasifikaciji</w:t>
      </w:r>
    </w:p>
    <w:p w14:paraId="7CDCAC34" w14:textId="77777777" w:rsidR="00583F23" w:rsidRDefault="00583F23" w:rsidP="00193F8F">
      <w:pPr>
        <w:spacing w:after="0"/>
        <w:jc w:val="both"/>
        <w:rPr>
          <w:b/>
          <w:bCs/>
        </w:rPr>
      </w:pPr>
    </w:p>
    <w:p w14:paraId="7725BB96" w14:textId="77777777" w:rsidR="00FF4DF5" w:rsidRDefault="00FF4DF5" w:rsidP="00193F8F">
      <w:pPr>
        <w:spacing w:after="0"/>
        <w:jc w:val="both"/>
        <w:rPr>
          <w:b/>
          <w:bCs/>
        </w:rPr>
      </w:pPr>
    </w:p>
    <w:p w14:paraId="4D4D5481" w14:textId="3852A6C6" w:rsidR="00583F23" w:rsidRDefault="005973E0" w:rsidP="00193F8F">
      <w:pPr>
        <w:spacing w:after="0"/>
        <w:jc w:val="both"/>
        <w:rPr>
          <w:b/>
          <w:bCs/>
        </w:rPr>
      </w:pPr>
      <w:r w:rsidRPr="005973E0">
        <w:rPr>
          <w:noProof/>
        </w:rPr>
        <w:drawing>
          <wp:inline distT="0" distB="0" distL="0" distR="0" wp14:anchorId="75730FC7" wp14:editId="04694DF9">
            <wp:extent cx="6531956" cy="1343025"/>
            <wp:effectExtent l="0" t="0" r="2540" b="0"/>
            <wp:docPr id="1318171638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517" cy="134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86FD8" w14:textId="77777777" w:rsidR="00526643" w:rsidRDefault="00526643" w:rsidP="00193F8F">
      <w:pPr>
        <w:spacing w:after="0"/>
        <w:jc w:val="both"/>
        <w:rPr>
          <w:b/>
          <w:bCs/>
        </w:rPr>
      </w:pPr>
    </w:p>
    <w:p w14:paraId="397DDAA1" w14:textId="77777777" w:rsidR="00FF4DF5" w:rsidRDefault="00FF4DF5" w:rsidP="00193F8F">
      <w:pPr>
        <w:spacing w:after="0"/>
        <w:jc w:val="both"/>
        <w:rPr>
          <w:b/>
          <w:bCs/>
        </w:rPr>
      </w:pPr>
    </w:p>
    <w:p w14:paraId="24E86C69" w14:textId="77777777" w:rsidR="00FF4DF5" w:rsidRDefault="00FF4DF5" w:rsidP="00193F8F">
      <w:pPr>
        <w:spacing w:after="0"/>
        <w:jc w:val="both"/>
        <w:rPr>
          <w:b/>
          <w:bCs/>
        </w:rPr>
      </w:pPr>
    </w:p>
    <w:p w14:paraId="2790D6EE" w14:textId="70242035" w:rsidR="007F0A90" w:rsidRDefault="00583F23" w:rsidP="00583F23">
      <w:pPr>
        <w:pStyle w:val="Odlomakpopisa"/>
        <w:numPr>
          <w:ilvl w:val="1"/>
          <w:numId w:val="6"/>
        </w:numPr>
        <w:spacing w:after="0"/>
        <w:jc w:val="both"/>
        <w:rPr>
          <w:b/>
          <w:bCs/>
          <w:sz w:val="24"/>
          <w:szCs w:val="24"/>
        </w:rPr>
      </w:pPr>
      <w:r w:rsidRPr="002015D0">
        <w:rPr>
          <w:b/>
          <w:bCs/>
          <w:sz w:val="24"/>
          <w:szCs w:val="24"/>
        </w:rPr>
        <w:t>RAČUN FINANCIRANJA</w:t>
      </w:r>
    </w:p>
    <w:p w14:paraId="1A511897" w14:textId="77777777" w:rsidR="00695CF4" w:rsidRPr="002015D0" w:rsidRDefault="00695CF4" w:rsidP="00695CF4">
      <w:pPr>
        <w:pStyle w:val="Odlomakpopisa"/>
        <w:spacing w:after="0"/>
        <w:ind w:left="1080"/>
        <w:jc w:val="both"/>
        <w:rPr>
          <w:b/>
          <w:bCs/>
          <w:sz w:val="24"/>
          <w:szCs w:val="24"/>
        </w:rPr>
      </w:pPr>
    </w:p>
    <w:p w14:paraId="21B172F7" w14:textId="68AC7095" w:rsidR="00583F23" w:rsidRDefault="00583F23" w:rsidP="00583F23">
      <w:pPr>
        <w:pStyle w:val="Odlomakpopisa"/>
        <w:numPr>
          <w:ilvl w:val="2"/>
          <w:numId w:val="6"/>
        </w:numPr>
        <w:spacing w:after="0"/>
        <w:jc w:val="both"/>
        <w:rPr>
          <w:b/>
          <w:bCs/>
        </w:rPr>
      </w:pPr>
      <w:r>
        <w:rPr>
          <w:b/>
          <w:bCs/>
        </w:rPr>
        <w:t>Izvještaj računa financiranja prema ekonomskoj klasifikaciji</w:t>
      </w:r>
    </w:p>
    <w:p w14:paraId="7D758020" w14:textId="77777777" w:rsidR="00583F23" w:rsidRDefault="00583F23" w:rsidP="00583F23">
      <w:pPr>
        <w:pStyle w:val="Odlomakpopisa"/>
        <w:spacing w:after="0"/>
        <w:ind w:left="1080"/>
        <w:jc w:val="both"/>
        <w:rPr>
          <w:b/>
          <w:bCs/>
        </w:rPr>
      </w:pPr>
    </w:p>
    <w:p w14:paraId="52F7733F" w14:textId="6E5A349B" w:rsidR="00583F23" w:rsidRPr="00583F23" w:rsidRDefault="005973E0" w:rsidP="00583F23">
      <w:pPr>
        <w:spacing w:after="0"/>
        <w:jc w:val="both"/>
        <w:rPr>
          <w:b/>
          <w:bCs/>
        </w:rPr>
      </w:pPr>
      <w:r w:rsidRPr="005973E0">
        <w:rPr>
          <w:noProof/>
        </w:rPr>
        <w:drawing>
          <wp:inline distT="0" distB="0" distL="0" distR="0" wp14:anchorId="555D3CE4" wp14:editId="4B324EF6">
            <wp:extent cx="6534525" cy="3981450"/>
            <wp:effectExtent l="0" t="0" r="0" b="0"/>
            <wp:docPr id="628442068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969" cy="398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C5266" w14:textId="77777777" w:rsidR="00583F23" w:rsidRDefault="00583F23" w:rsidP="00583F23">
      <w:pPr>
        <w:pStyle w:val="Odlomakpopisa"/>
        <w:spacing w:after="0"/>
        <w:ind w:left="1080"/>
        <w:jc w:val="both"/>
        <w:rPr>
          <w:b/>
          <w:bCs/>
        </w:rPr>
      </w:pPr>
    </w:p>
    <w:p w14:paraId="2A7F545D" w14:textId="77777777" w:rsidR="00695CF4" w:rsidRDefault="00695CF4" w:rsidP="00583F23">
      <w:pPr>
        <w:pStyle w:val="Odlomakpopisa"/>
        <w:spacing w:after="0"/>
        <w:ind w:left="1080"/>
        <w:jc w:val="both"/>
        <w:rPr>
          <w:b/>
          <w:bCs/>
        </w:rPr>
      </w:pPr>
    </w:p>
    <w:p w14:paraId="3B135691" w14:textId="77777777" w:rsidR="005973E0" w:rsidRDefault="005973E0" w:rsidP="00583F23">
      <w:pPr>
        <w:pStyle w:val="Odlomakpopisa"/>
        <w:spacing w:after="0"/>
        <w:ind w:left="1080"/>
        <w:jc w:val="both"/>
        <w:rPr>
          <w:b/>
          <w:bCs/>
        </w:rPr>
      </w:pPr>
    </w:p>
    <w:p w14:paraId="35E08B2D" w14:textId="77777777" w:rsidR="005973E0" w:rsidRDefault="005973E0" w:rsidP="00583F23">
      <w:pPr>
        <w:pStyle w:val="Odlomakpopisa"/>
        <w:spacing w:after="0"/>
        <w:ind w:left="1080"/>
        <w:jc w:val="both"/>
        <w:rPr>
          <w:b/>
          <w:bCs/>
        </w:rPr>
      </w:pPr>
    </w:p>
    <w:p w14:paraId="1FF0FDAB" w14:textId="77777777" w:rsidR="005973E0" w:rsidRDefault="005973E0" w:rsidP="00583F23">
      <w:pPr>
        <w:pStyle w:val="Odlomakpopisa"/>
        <w:spacing w:after="0"/>
        <w:ind w:left="1080"/>
        <w:jc w:val="both"/>
        <w:rPr>
          <w:b/>
          <w:bCs/>
        </w:rPr>
      </w:pPr>
    </w:p>
    <w:p w14:paraId="6B86D510" w14:textId="77777777" w:rsidR="005973E0" w:rsidRDefault="005973E0" w:rsidP="00583F23">
      <w:pPr>
        <w:pStyle w:val="Odlomakpopisa"/>
        <w:spacing w:after="0"/>
        <w:ind w:left="1080"/>
        <w:jc w:val="both"/>
        <w:rPr>
          <w:b/>
          <w:bCs/>
        </w:rPr>
      </w:pPr>
    </w:p>
    <w:p w14:paraId="1ABCC3A7" w14:textId="77777777" w:rsidR="005973E0" w:rsidRDefault="005973E0" w:rsidP="00583F23">
      <w:pPr>
        <w:pStyle w:val="Odlomakpopisa"/>
        <w:spacing w:after="0"/>
        <w:ind w:left="1080"/>
        <w:jc w:val="both"/>
        <w:rPr>
          <w:b/>
          <w:bCs/>
        </w:rPr>
      </w:pPr>
    </w:p>
    <w:p w14:paraId="6A86137B" w14:textId="77777777" w:rsidR="005973E0" w:rsidRDefault="005973E0" w:rsidP="00583F23">
      <w:pPr>
        <w:pStyle w:val="Odlomakpopisa"/>
        <w:spacing w:after="0"/>
        <w:ind w:left="1080"/>
        <w:jc w:val="both"/>
        <w:rPr>
          <w:b/>
          <w:bCs/>
        </w:rPr>
      </w:pPr>
    </w:p>
    <w:p w14:paraId="3E22C01C" w14:textId="62898F01" w:rsidR="00583F23" w:rsidRPr="00583F23" w:rsidRDefault="00583F23" w:rsidP="00583F23">
      <w:pPr>
        <w:pStyle w:val="Odlomakpopisa"/>
        <w:numPr>
          <w:ilvl w:val="2"/>
          <w:numId w:val="6"/>
        </w:numPr>
        <w:spacing w:after="0"/>
        <w:jc w:val="both"/>
        <w:rPr>
          <w:b/>
          <w:bCs/>
        </w:rPr>
      </w:pPr>
      <w:r>
        <w:rPr>
          <w:b/>
          <w:bCs/>
        </w:rPr>
        <w:lastRenderedPageBreak/>
        <w:t>Izvještaj računa financiranja prema izvorima financiranja</w:t>
      </w:r>
    </w:p>
    <w:p w14:paraId="2EB911AE" w14:textId="779C6A74" w:rsidR="00583F23" w:rsidRDefault="00583F23" w:rsidP="00583F23">
      <w:pPr>
        <w:spacing w:after="0"/>
        <w:jc w:val="both"/>
        <w:rPr>
          <w:b/>
          <w:bCs/>
        </w:rPr>
      </w:pPr>
    </w:p>
    <w:p w14:paraId="668FFC10" w14:textId="5DD89C2C" w:rsidR="00583F23" w:rsidRDefault="005973E0" w:rsidP="00583F23">
      <w:pPr>
        <w:spacing w:after="0"/>
        <w:jc w:val="both"/>
        <w:rPr>
          <w:b/>
          <w:bCs/>
        </w:rPr>
      </w:pPr>
      <w:r w:rsidRPr="005973E0">
        <w:rPr>
          <w:noProof/>
        </w:rPr>
        <w:drawing>
          <wp:inline distT="0" distB="0" distL="0" distR="0" wp14:anchorId="7C2E1A83" wp14:editId="46A6CF4C">
            <wp:extent cx="6438856" cy="3895725"/>
            <wp:effectExtent l="0" t="0" r="635" b="0"/>
            <wp:docPr id="1583858226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139" cy="3897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DD6A1" w14:textId="77777777" w:rsidR="002015D0" w:rsidRDefault="002015D0" w:rsidP="00583F23">
      <w:pPr>
        <w:spacing w:after="0"/>
        <w:jc w:val="both"/>
        <w:rPr>
          <w:b/>
          <w:bCs/>
        </w:rPr>
      </w:pPr>
    </w:p>
    <w:p w14:paraId="53C07659" w14:textId="5F387157" w:rsidR="008171BF" w:rsidRPr="00FF4DF5" w:rsidRDefault="00FF4DF5" w:rsidP="00583F23">
      <w:pPr>
        <w:spacing w:after="0"/>
        <w:jc w:val="both"/>
      </w:pPr>
      <w:r w:rsidRPr="00FF4DF5">
        <w:t>Ustanova nije imala zaduživanja niti otplate kredita i zajmova u 202</w:t>
      </w:r>
      <w:r w:rsidR="005973E0">
        <w:t>5</w:t>
      </w:r>
      <w:r w:rsidRPr="00FF4DF5">
        <w:t>.g.</w:t>
      </w:r>
    </w:p>
    <w:p w14:paraId="78932637" w14:textId="77777777" w:rsidR="00695CF4" w:rsidRDefault="00695CF4" w:rsidP="00583F23">
      <w:pPr>
        <w:spacing w:after="0"/>
        <w:jc w:val="both"/>
        <w:rPr>
          <w:b/>
          <w:bCs/>
        </w:rPr>
      </w:pPr>
    </w:p>
    <w:p w14:paraId="14E83B87" w14:textId="77777777" w:rsidR="005973E0" w:rsidRDefault="005973E0" w:rsidP="00583F23">
      <w:pPr>
        <w:spacing w:after="0"/>
        <w:jc w:val="both"/>
        <w:rPr>
          <w:b/>
          <w:bCs/>
        </w:rPr>
      </w:pPr>
    </w:p>
    <w:p w14:paraId="4E8E8156" w14:textId="1D6D30BC" w:rsidR="008906A3" w:rsidRPr="00C768D1" w:rsidRDefault="005973E0" w:rsidP="005973E0">
      <w:pPr>
        <w:spacing w:after="0"/>
        <w:jc w:val="both"/>
        <w:rPr>
          <w:b/>
          <w:bCs/>
          <w:color w:val="385623" w:themeColor="accent6" w:themeShade="80"/>
        </w:rPr>
      </w:pPr>
      <w:r w:rsidRPr="00C768D1">
        <w:rPr>
          <w:b/>
          <w:bCs/>
          <w:color w:val="385623" w:themeColor="accent6" w:themeShade="80"/>
          <w:sz w:val="24"/>
          <w:szCs w:val="24"/>
        </w:rPr>
        <w:t xml:space="preserve">3. </w:t>
      </w:r>
      <w:r w:rsidR="007F0A90" w:rsidRPr="00C768D1">
        <w:rPr>
          <w:b/>
          <w:bCs/>
          <w:color w:val="385623" w:themeColor="accent6" w:themeShade="80"/>
          <w:sz w:val="24"/>
          <w:szCs w:val="24"/>
        </w:rPr>
        <w:t>POSEBNI DIO</w:t>
      </w:r>
      <w:r w:rsidR="00583F23" w:rsidRPr="00C768D1">
        <w:rPr>
          <w:b/>
          <w:bCs/>
          <w:color w:val="385623" w:themeColor="accent6" w:themeShade="80"/>
          <w:sz w:val="24"/>
          <w:szCs w:val="24"/>
        </w:rPr>
        <w:t xml:space="preserve"> GODIŠNJEG IZVJEŠTAJA O IZVRŠENJU FINANCIJSKOG PLANA</w:t>
      </w:r>
    </w:p>
    <w:p w14:paraId="68E3EBA2" w14:textId="77777777" w:rsidR="00FF4DF5" w:rsidRPr="008906A3" w:rsidRDefault="00FF4DF5" w:rsidP="00FF4DF5">
      <w:pPr>
        <w:pStyle w:val="Odlomakpopisa"/>
        <w:spacing w:after="0"/>
        <w:ind w:left="360"/>
        <w:jc w:val="both"/>
        <w:rPr>
          <w:b/>
          <w:bCs/>
        </w:rPr>
      </w:pPr>
    </w:p>
    <w:p w14:paraId="7D6C6BCF" w14:textId="77777777" w:rsidR="008407D2" w:rsidRDefault="000E0A92" w:rsidP="008906A3">
      <w:pPr>
        <w:pStyle w:val="Odlomakpopisa"/>
        <w:spacing w:after="0"/>
        <w:ind w:left="360"/>
        <w:rPr>
          <w:b/>
          <w:bCs/>
        </w:rPr>
      </w:pPr>
      <w:r w:rsidRPr="008906A3">
        <w:rPr>
          <w:b/>
          <w:bCs/>
        </w:rPr>
        <w:t>3.1.</w:t>
      </w:r>
      <w:r w:rsidR="007F0A90" w:rsidRPr="008906A3">
        <w:rPr>
          <w:b/>
          <w:bCs/>
        </w:rPr>
        <w:t xml:space="preserve"> I</w:t>
      </w:r>
      <w:r w:rsidR="00583F23" w:rsidRPr="008906A3">
        <w:rPr>
          <w:b/>
          <w:bCs/>
        </w:rPr>
        <w:t>zvještaj po programskoj klasifikaciji, izvorima financiranja, ekonomskoj klasifikaciji</w:t>
      </w:r>
    </w:p>
    <w:p w14:paraId="1C1AF4F1" w14:textId="77777777" w:rsidR="008407D2" w:rsidRDefault="008407D2" w:rsidP="008407D2">
      <w:pPr>
        <w:spacing w:after="0"/>
        <w:rPr>
          <w:b/>
          <w:bCs/>
        </w:rPr>
      </w:pPr>
    </w:p>
    <w:p w14:paraId="0B652FF6" w14:textId="4D492A1B" w:rsidR="008407D2" w:rsidRPr="008407D2" w:rsidRDefault="00D74A60" w:rsidP="008407D2">
      <w:pPr>
        <w:spacing w:after="0"/>
        <w:rPr>
          <w:b/>
          <w:bCs/>
        </w:rPr>
      </w:pPr>
      <w:r w:rsidRPr="00D74A60">
        <w:rPr>
          <w:noProof/>
        </w:rPr>
        <w:drawing>
          <wp:inline distT="0" distB="0" distL="0" distR="0" wp14:anchorId="14C8872D" wp14:editId="22857E99">
            <wp:extent cx="6460242" cy="3122579"/>
            <wp:effectExtent l="0" t="0" r="0" b="1905"/>
            <wp:docPr id="700980215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637" cy="3131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F0D38" w14:textId="1781CACF" w:rsidR="00047060" w:rsidRDefault="00047060" w:rsidP="00583F23">
      <w:pPr>
        <w:spacing w:after="0"/>
        <w:jc w:val="both"/>
        <w:rPr>
          <w:b/>
          <w:bCs/>
        </w:rPr>
      </w:pPr>
    </w:p>
    <w:p w14:paraId="515F4952" w14:textId="0173EE3F" w:rsidR="00583F23" w:rsidRDefault="00D74A60" w:rsidP="00583F23">
      <w:pPr>
        <w:spacing w:after="0"/>
        <w:jc w:val="both"/>
        <w:rPr>
          <w:b/>
          <w:bCs/>
        </w:rPr>
      </w:pPr>
      <w:r w:rsidRPr="00D74A60">
        <w:rPr>
          <w:noProof/>
        </w:rPr>
        <w:drawing>
          <wp:inline distT="0" distB="0" distL="0" distR="0" wp14:anchorId="551B71D8" wp14:editId="30217DC2">
            <wp:extent cx="6544945" cy="777182"/>
            <wp:effectExtent l="0" t="0" r="0" b="4445"/>
            <wp:docPr id="136887072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683" cy="809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7D16B" w14:textId="7F312C9D" w:rsidR="00583F23" w:rsidRDefault="00D74A60" w:rsidP="000E0A92">
      <w:pPr>
        <w:jc w:val="both"/>
      </w:pPr>
      <w:r w:rsidRPr="00D74A60">
        <w:rPr>
          <w:noProof/>
        </w:rPr>
        <w:drawing>
          <wp:inline distT="0" distB="0" distL="0" distR="0" wp14:anchorId="0384816A" wp14:editId="5F4A5855">
            <wp:extent cx="6545387" cy="7773134"/>
            <wp:effectExtent l="0" t="0" r="8255" b="0"/>
            <wp:docPr id="1896913986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287" cy="7778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D93E1" w14:textId="25F06B1C" w:rsidR="00C629C9" w:rsidRDefault="00D74A60" w:rsidP="000E0A92">
      <w:pPr>
        <w:jc w:val="both"/>
      </w:pPr>
      <w:r w:rsidRPr="00D74A60">
        <w:rPr>
          <w:noProof/>
        </w:rPr>
        <w:lastRenderedPageBreak/>
        <w:drawing>
          <wp:inline distT="0" distB="0" distL="0" distR="0" wp14:anchorId="3B9378DF" wp14:editId="510A7F6C">
            <wp:extent cx="6536433" cy="8795557"/>
            <wp:effectExtent l="0" t="0" r="0" b="5715"/>
            <wp:docPr id="864260327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2213" cy="880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A95B3" w14:textId="40C96537" w:rsidR="000E0A92" w:rsidRPr="00D74A60" w:rsidRDefault="000E0A92" w:rsidP="000E0A92">
      <w:pPr>
        <w:jc w:val="both"/>
        <w:rPr>
          <w:sz w:val="24"/>
          <w:szCs w:val="24"/>
        </w:rPr>
      </w:pPr>
      <w:r w:rsidRPr="00D74A60">
        <w:rPr>
          <w:sz w:val="24"/>
          <w:szCs w:val="24"/>
        </w:rPr>
        <w:lastRenderedPageBreak/>
        <w:t>U Tablici broj 3.</w:t>
      </w:r>
      <w:r w:rsidR="00ED6542" w:rsidRPr="00D74A60">
        <w:rPr>
          <w:sz w:val="24"/>
          <w:szCs w:val="24"/>
        </w:rPr>
        <w:t>1</w:t>
      </w:r>
      <w:r w:rsidRPr="00D74A60">
        <w:rPr>
          <w:sz w:val="24"/>
          <w:szCs w:val="24"/>
        </w:rPr>
        <w:t>. daje se pregled ostvarenih rashoda i izdataka u 202</w:t>
      </w:r>
      <w:r w:rsidR="002D5B9A" w:rsidRPr="00D74A60">
        <w:rPr>
          <w:sz w:val="24"/>
          <w:szCs w:val="24"/>
        </w:rPr>
        <w:t>5</w:t>
      </w:r>
      <w:r w:rsidRPr="00D74A60">
        <w:rPr>
          <w:sz w:val="24"/>
          <w:szCs w:val="24"/>
        </w:rPr>
        <w:t>. god. s usporednim pokazateljima tekućeg plana za 202</w:t>
      </w:r>
      <w:r w:rsidR="002D5B9A" w:rsidRPr="00D74A60">
        <w:rPr>
          <w:sz w:val="24"/>
          <w:szCs w:val="24"/>
        </w:rPr>
        <w:t>5</w:t>
      </w:r>
      <w:r w:rsidRPr="00D74A60">
        <w:rPr>
          <w:sz w:val="24"/>
          <w:szCs w:val="24"/>
        </w:rPr>
        <w:t>. godinu</w:t>
      </w:r>
      <w:r w:rsidR="00960CA8" w:rsidRPr="00D74A60">
        <w:rPr>
          <w:sz w:val="24"/>
          <w:szCs w:val="24"/>
        </w:rPr>
        <w:t xml:space="preserve"> po</w:t>
      </w:r>
      <w:r w:rsidRPr="00D74A60">
        <w:rPr>
          <w:sz w:val="24"/>
          <w:szCs w:val="24"/>
        </w:rPr>
        <w:t xml:space="preserve"> programskoj, ekonomskoj klasifikaciji i izvorima financiranja. </w:t>
      </w:r>
    </w:p>
    <w:p w14:paraId="73A23375" w14:textId="77777777" w:rsidR="00695CF4" w:rsidRPr="00D74A60" w:rsidRDefault="00695CF4" w:rsidP="00891F27">
      <w:pPr>
        <w:spacing w:after="0"/>
        <w:jc w:val="both"/>
        <w:rPr>
          <w:b/>
          <w:bCs/>
          <w:sz w:val="24"/>
          <w:szCs w:val="24"/>
        </w:rPr>
      </w:pPr>
    </w:p>
    <w:p w14:paraId="570A85F9" w14:textId="77777777" w:rsidR="00C53403" w:rsidRDefault="00C53403" w:rsidP="00891F27">
      <w:pPr>
        <w:spacing w:after="0"/>
        <w:jc w:val="both"/>
        <w:rPr>
          <w:b/>
          <w:bCs/>
        </w:rPr>
      </w:pPr>
    </w:p>
    <w:p w14:paraId="722DF63E" w14:textId="6069D618" w:rsidR="00891F27" w:rsidRPr="001F7ACB" w:rsidRDefault="00C768D1" w:rsidP="00C768D1">
      <w:pPr>
        <w:pStyle w:val="Odlomakpopisa"/>
        <w:spacing w:after="0"/>
        <w:ind w:left="360"/>
        <w:jc w:val="both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385623" w:themeColor="accent6" w:themeShade="80"/>
          <w:sz w:val="24"/>
          <w:szCs w:val="24"/>
        </w:rPr>
        <w:t xml:space="preserve">4. </w:t>
      </w:r>
      <w:r w:rsidR="00891F27" w:rsidRPr="00C768D1">
        <w:rPr>
          <w:b/>
          <w:bCs/>
          <w:color w:val="385623" w:themeColor="accent6" w:themeShade="80"/>
          <w:sz w:val="24"/>
          <w:szCs w:val="24"/>
        </w:rPr>
        <w:t>OBRAZLOŽENJE OSTVARENJA PRIHODA I PRIMITAKA, RASHODA I IZDATAKA</w:t>
      </w:r>
    </w:p>
    <w:p w14:paraId="68329E9E" w14:textId="77777777" w:rsidR="00ED6542" w:rsidRDefault="00ED6542" w:rsidP="00ED6542">
      <w:pPr>
        <w:pStyle w:val="Odlomakpopisa"/>
        <w:spacing w:after="0"/>
        <w:ind w:left="360"/>
        <w:jc w:val="both"/>
        <w:rPr>
          <w:b/>
          <w:bCs/>
        </w:rPr>
      </w:pPr>
    </w:p>
    <w:p w14:paraId="7C3C41AC" w14:textId="501C1F41" w:rsidR="00BD511D" w:rsidRDefault="008D4D51" w:rsidP="00BD511D">
      <w:r w:rsidRPr="008D4D51">
        <w:t>Izvršenje</w:t>
      </w:r>
      <w:r w:rsidR="00BD511D">
        <w:t xml:space="preserve"> Financijskog plana Javne vatrogasne postrojbe JVP CZP Poreč za </w:t>
      </w:r>
      <w:r w:rsidR="008171BF">
        <w:t>razdoblje 1-</w:t>
      </w:r>
      <w:r w:rsidR="00F23F6D">
        <w:t>12</w:t>
      </w:r>
      <w:r w:rsidR="008171BF">
        <w:t>/202</w:t>
      </w:r>
      <w:r w:rsidR="00D74A60">
        <w:t>5</w:t>
      </w:r>
      <w:r w:rsidR="008171BF">
        <w:t>.</w:t>
      </w:r>
      <w:r w:rsidR="00BD511D">
        <w:t xml:space="preserve"> godin</w:t>
      </w:r>
      <w:r w:rsidR="008171BF">
        <w:t>e</w:t>
      </w:r>
      <w:r w:rsidR="00BD511D">
        <w:t xml:space="preserve">  u općem i posebnom dijelu </w:t>
      </w:r>
      <w:r w:rsidR="00F23F6D">
        <w:t>G</w:t>
      </w:r>
      <w:r w:rsidR="00BD511D">
        <w:t>odišnjeg izvještaja o izvršenju</w:t>
      </w:r>
      <w:r w:rsidR="00BD511D" w:rsidRPr="00BD511D">
        <w:t xml:space="preserve"> </w:t>
      </w:r>
      <w:r w:rsidR="00BD511D">
        <w:t xml:space="preserve">Financijskog plana Javne vatrogasne postrojbe JVP CZP Poreč iskazani su podaci o planiranim prihodima i primicima i rashodima i izdacima kroz Izvorni plan i Tekući plan te podaci o njihovu izvršenju. U općem dijelu </w:t>
      </w:r>
      <w:r w:rsidR="00F23F6D">
        <w:t>G</w:t>
      </w:r>
      <w:r w:rsidR="00BD511D">
        <w:t>odišnjeg izvještaja daju se i usporedni podaci o izvršenju za prethodnu 202</w:t>
      </w:r>
      <w:r w:rsidR="00D74A60">
        <w:t>4</w:t>
      </w:r>
      <w:r w:rsidR="00BD511D">
        <w:t>. godinu. U ovom tekstu obrazloženja ostvarenja prihoda i primitaka te rashoda i izdataka, ostvarenje se obrazlaže u odnosu na Tekući plan Proračuna za 202</w:t>
      </w:r>
      <w:r w:rsidR="00D74A60">
        <w:t>5</w:t>
      </w:r>
      <w:r w:rsidR="00BD511D">
        <w:t>. godinu i usporedba s ostvarenjem prihoda i rashoda u prethodnoj 202</w:t>
      </w:r>
      <w:r w:rsidR="00D74A60">
        <w:t>4</w:t>
      </w:r>
      <w:r w:rsidR="00BD511D">
        <w:t>. godini</w:t>
      </w:r>
      <w:r>
        <w:t>.</w:t>
      </w:r>
    </w:p>
    <w:p w14:paraId="1470D553" w14:textId="4BB9BC76" w:rsidR="007048F7" w:rsidRDefault="007048F7" w:rsidP="007048F7">
      <w:pPr>
        <w:jc w:val="both"/>
      </w:pPr>
      <w:r>
        <w:t>PRIHODI I PRIMICI - iz danog prikaza vidljivo je da su u razdoblju 1-12/202</w:t>
      </w:r>
      <w:r w:rsidR="00D74A60">
        <w:t>5</w:t>
      </w:r>
      <w:r>
        <w:t>. godini ukupni prihodi i primici izvršeni u iznosu 1.</w:t>
      </w:r>
      <w:r w:rsidR="00D74A60">
        <w:t>931</w:t>
      </w:r>
      <w:r>
        <w:t>.</w:t>
      </w:r>
      <w:r w:rsidR="00D74A60">
        <w:t>162</w:t>
      </w:r>
      <w:r>
        <w:t>,</w:t>
      </w:r>
      <w:r w:rsidR="00D74A60">
        <w:t>2</w:t>
      </w:r>
      <w:r>
        <w:t>3 eura ili 8</w:t>
      </w:r>
      <w:r w:rsidR="00D74A60">
        <w:t>4,83</w:t>
      </w:r>
      <w:r>
        <w:t>% godišnjeg plana. Ostvareni prihodi i primici u 202</w:t>
      </w:r>
      <w:r w:rsidR="00D74A60">
        <w:t>5</w:t>
      </w:r>
      <w:r>
        <w:t xml:space="preserve">. godini veći su za </w:t>
      </w:r>
      <w:r w:rsidR="00D74A60">
        <w:t>24,34</w:t>
      </w:r>
      <w:r>
        <w:t xml:space="preserve">% u odnosu na prethodnu godinu. </w:t>
      </w:r>
    </w:p>
    <w:p w14:paraId="31D7A2A8" w14:textId="51C1B89F" w:rsidR="009A5B85" w:rsidRDefault="00A6685A" w:rsidP="00DC1732">
      <w:pPr>
        <w:jc w:val="both"/>
      </w:pPr>
      <w:r>
        <w:t xml:space="preserve">Prihodi iz nadležnog proračuna, </w:t>
      </w:r>
      <w:r w:rsidRPr="004624CE">
        <w:rPr>
          <w:b/>
          <w:bCs/>
        </w:rPr>
        <w:t>Izvor 1.4.</w:t>
      </w:r>
      <w:r>
        <w:t xml:space="preserve"> Ukupni prihodi </w:t>
      </w:r>
      <w:r w:rsidR="00DB7D99">
        <w:t>738</w:t>
      </w:r>
      <w:r>
        <w:t>.</w:t>
      </w:r>
      <w:r w:rsidR="00DB7D99">
        <w:t>087</w:t>
      </w:r>
      <w:r>
        <w:t>,</w:t>
      </w:r>
      <w:r w:rsidR="00DB7D99">
        <w:t>05</w:t>
      </w:r>
      <w:r>
        <w:t xml:space="preserve"> eura, ukupni rashodi </w:t>
      </w:r>
      <w:r w:rsidR="00DB7D99">
        <w:t>756</w:t>
      </w:r>
      <w:r>
        <w:t>.</w:t>
      </w:r>
      <w:r w:rsidR="00DB7D99">
        <w:t>546</w:t>
      </w:r>
      <w:r>
        <w:t>,</w:t>
      </w:r>
      <w:r w:rsidR="00DB7D99">
        <w:t>55</w:t>
      </w:r>
      <w:r>
        <w:t xml:space="preserve"> eura, manjak prihoda </w:t>
      </w:r>
      <w:r w:rsidR="00DB7D99">
        <w:t>18</w:t>
      </w:r>
      <w:r>
        <w:t>.</w:t>
      </w:r>
      <w:r w:rsidR="00DB7D99">
        <w:t>459</w:t>
      </w:r>
      <w:r>
        <w:t>,</w:t>
      </w:r>
      <w:r w:rsidR="00DB7D99">
        <w:t>5</w:t>
      </w:r>
      <w:r>
        <w:t>0 eura. Iznos manjka čine rashodi plaćeni u 202</w:t>
      </w:r>
      <w:r w:rsidR="00FA3F83">
        <w:t>6</w:t>
      </w:r>
      <w:r>
        <w:t>.g. a koji se odnose na 202</w:t>
      </w:r>
      <w:r w:rsidR="00FA3F83">
        <w:t>5</w:t>
      </w:r>
      <w:r>
        <w:t>.g. i za koje ustanova nije evidentirala prihod na dan 31.12.202</w:t>
      </w:r>
      <w:r w:rsidR="00FA3F83">
        <w:t>5, kao razlika prihoda realiziranih u 2025. za rashode evidentirane u 2024.g. (plaće za 12/24)</w:t>
      </w:r>
      <w:r>
        <w:t xml:space="preserve">. </w:t>
      </w:r>
    </w:p>
    <w:p w14:paraId="2BAA3BEE" w14:textId="5D7DFD38" w:rsidR="00A6685A" w:rsidRDefault="00A6685A" w:rsidP="00DC1732">
      <w:pPr>
        <w:jc w:val="both"/>
      </w:pPr>
      <w:r>
        <w:t xml:space="preserve">Vlastiti prihodi, </w:t>
      </w:r>
      <w:r w:rsidRPr="004624CE">
        <w:rPr>
          <w:b/>
          <w:bCs/>
        </w:rPr>
        <w:t>Izvor 3.1</w:t>
      </w:r>
      <w:r>
        <w:t xml:space="preserve">. Ukupni prihodi su povećani radi povećanja opsega posla, iznose </w:t>
      </w:r>
      <w:r w:rsidR="00FA3F83">
        <w:t>6</w:t>
      </w:r>
      <w:r>
        <w:t>5.</w:t>
      </w:r>
      <w:r w:rsidR="00FA3F83">
        <w:t>711</w:t>
      </w:r>
      <w:r>
        <w:t>,</w:t>
      </w:r>
      <w:r w:rsidR="00FA3F83">
        <w:t>91</w:t>
      </w:r>
      <w:r>
        <w:t xml:space="preserve"> eura, ukupni rashodi </w:t>
      </w:r>
      <w:r w:rsidR="00FA3F83">
        <w:t>65</w:t>
      </w:r>
      <w:r>
        <w:t>.</w:t>
      </w:r>
      <w:r w:rsidR="00FA3F83">
        <w:t>518</w:t>
      </w:r>
      <w:r>
        <w:t>,</w:t>
      </w:r>
      <w:r w:rsidR="00FA3F83">
        <w:t>16</w:t>
      </w:r>
      <w:r>
        <w:t xml:space="preserve"> eura. </w:t>
      </w:r>
      <w:r w:rsidR="00FA3F83">
        <w:t>Manjak</w:t>
      </w:r>
      <w:r>
        <w:t xml:space="preserve"> prihoda od </w:t>
      </w:r>
      <w:r w:rsidR="00FA3F83">
        <w:t>106,25 eura pokriven je sa prenesenim viškom prihoda iz 2024.g. koji je iznosio 11.527,77</w:t>
      </w:r>
      <w:r>
        <w:t xml:space="preserve"> eura. </w:t>
      </w:r>
    </w:p>
    <w:p w14:paraId="72206B4C" w14:textId="2CB345C6" w:rsidR="004624CE" w:rsidRDefault="004624CE" w:rsidP="00DC1732">
      <w:pPr>
        <w:jc w:val="both"/>
      </w:pPr>
      <w:r>
        <w:t xml:space="preserve">Prihodi za posebne namjene, </w:t>
      </w:r>
      <w:r w:rsidRPr="004624CE">
        <w:rPr>
          <w:b/>
          <w:bCs/>
        </w:rPr>
        <w:t>Izvor 4.8.</w:t>
      </w:r>
      <w:r>
        <w:t xml:space="preserve"> Ukupni prihodi 1</w:t>
      </w:r>
      <w:r w:rsidR="00FA3F83">
        <w:t>64</w:t>
      </w:r>
      <w:r>
        <w:t>.</w:t>
      </w:r>
      <w:r w:rsidR="00FA3F83">
        <w:t>466</w:t>
      </w:r>
      <w:r>
        <w:t>,</w:t>
      </w:r>
      <w:r w:rsidR="00FA3F83">
        <w:t>30</w:t>
      </w:r>
      <w:r>
        <w:t xml:space="preserve"> eura, ukupni rashodi </w:t>
      </w:r>
      <w:r w:rsidR="00FA3F83">
        <w:t>166</w:t>
      </w:r>
      <w:r>
        <w:t>.</w:t>
      </w:r>
      <w:r w:rsidR="00FA3F83">
        <w:t>526</w:t>
      </w:r>
      <w:r>
        <w:t>,</w:t>
      </w:r>
      <w:r w:rsidR="00FA3F83">
        <w:t>89</w:t>
      </w:r>
      <w:r>
        <w:t xml:space="preserve"> eura, </w:t>
      </w:r>
      <w:r w:rsidR="00FA3F83">
        <w:t xml:space="preserve">manjak </w:t>
      </w:r>
      <w:r>
        <w:t xml:space="preserve">prihoda </w:t>
      </w:r>
      <w:r w:rsidR="00FA3F83">
        <w:t xml:space="preserve">od 2.060,59 eura pokriven je sa viškom prihoda iz 2024.g. koji je iznosio </w:t>
      </w:r>
      <w:r>
        <w:t>2.664,20 eura. Prihodi za posebne namjene predstavljaju donacije iz Područne vatrogasne zajednice za kupnju i održavanje opreme.</w:t>
      </w:r>
    </w:p>
    <w:p w14:paraId="7B72BB7D" w14:textId="7B0DB646" w:rsidR="004624CE" w:rsidRDefault="004624CE" w:rsidP="00DC1732">
      <w:pPr>
        <w:jc w:val="both"/>
      </w:pPr>
      <w:r>
        <w:t xml:space="preserve">Pomoći za minimalni standard decentraliziranih funkcija </w:t>
      </w:r>
      <w:r w:rsidR="00AF16AA" w:rsidRPr="00AF16AA">
        <w:rPr>
          <w:b/>
          <w:bCs/>
        </w:rPr>
        <w:t>Izvor 5.1.</w:t>
      </w:r>
      <w:r w:rsidR="00AF16AA">
        <w:t xml:space="preserve"> Ukupni prihod 5</w:t>
      </w:r>
      <w:r w:rsidR="00FA3F83">
        <w:t>63</w:t>
      </w:r>
      <w:r w:rsidR="00AF16AA">
        <w:t>.</w:t>
      </w:r>
      <w:r w:rsidR="00FA3F83">
        <w:t>232</w:t>
      </w:r>
      <w:r w:rsidR="00AF16AA">
        <w:t>,00 eura, ukupni rashod 5</w:t>
      </w:r>
      <w:r w:rsidR="00FA3F83">
        <w:t>63</w:t>
      </w:r>
      <w:r w:rsidR="00AF16AA">
        <w:t>.</w:t>
      </w:r>
      <w:r w:rsidR="00FA3F83">
        <w:t>232</w:t>
      </w:r>
      <w:r w:rsidR="00AF16AA">
        <w:t>,00 eura. Prihodi su u odnosu na 202</w:t>
      </w:r>
      <w:r w:rsidR="00FA3F83">
        <w:t>4</w:t>
      </w:r>
      <w:r w:rsidR="00AF16AA">
        <w:t xml:space="preserve">.g. uvećani za </w:t>
      </w:r>
      <w:r w:rsidR="00FA3F83">
        <w:t>7</w:t>
      </w:r>
      <w:r w:rsidR="00AF16AA">
        <w:t>%</w:t>
      </w:r>
      <w:r w:rsidR="00FA3F83">
        <w:t xml:space="preserve"> i ne prate realno povećanje rashoda</w:t>
      </w:r>
      <w:r w:rsidR="00AF16AA">
        <w:t>.</w:t>
      </w:r>
    </w:p>
    <w:p w14:paraId="331831F3" w14:textId="19A42495" w:rsidR="00FA3F83" w:rsidRDefault="00FA3F83" w:rsidP="00FA3F83">
      <w:pPr>
        <w:jc w:val="both"/>
      </w:pPr>
      <w:r>
        <w:t xml:space="preserve">Pomoći iz državnog proračuna za korisnike </w:t>
      </w:r>
      <w:r w:rsidRPr="00AF16AA">
        <w:rPr>
          <w:b/>
          <w:bCs/>
        </w:rPr>
        <w:t>Izvor 5.</w:t>
      </w:r>
      <w:r>
        <w:rPr>
          <w:b/>
          <w:bCs/>
        </w:rPr>
        <w:t>3</w:t>
      </w:r>
      <w:r w:rsidRPr="00AF16AA">
        <w:rPr>
          <w:b/>
          <w:bCs/>
        </w:rPr>
        <w:t>.</w:t>
      </w:r>
      <w:r>
        <w:t xml:space="preserve"> ukupni prihod 5.000,00 eura, ukupni rashod 5.000,00 eura. Odnos</w:t>
      </w:r>
      <w:r w:rsidR="009D7296">
        <w:t>e</w:t>
      </w:r>
      <w:r>
        <w:t xml:space="preserve"> se na sredstva donirana za nabavu opreme realiziran</w:t>
      </w:r>
      <w:r w:rsidR="009D7296">
        <w:t>a</w:t>
      </w:r>
      <w:r>
        <w:t xml:space="preserve"> preko Hrvatske vatrogasne zajednice.</w:t>
      </w:r>
    </w:p>
    <w:p w14:paraId="1EE552B8" w14:textId="77777777" w:rsidR="00FA3F83" w:rsidRDefault="00AF16AA" w:rsidP="00DC1732">
      <w:pPr>
        <w:jc w:val="both"/>
      </w:pPr>
      <w:r>
        <w:t xml:space="preserve">Pomoći iz općinskog proračuna za korisnike </w:t>
      </w:r>
      <w:r w:rsidRPr="00AF16AA">
        <w:rPr>
          <w:b/>
          <w:bCs/>
        </w:rPr>
        <w:t>Izvor 5.5.</w:t>
      </w:r>
      <w:r>
        <w:t xml:space="preserve"> Ukupni pr</w:t>
      </w:r>
      <w:r w:rsidR="00FA3F83">
        <w:t>i</w:t>
      </w:r>
      <w:r>
        <w:t xml:space="preserve">hod </w:t>
      </w:r>
      <w:r w:rsidR="00FA3F83">
        <w:t>388</w:t>
      </w:r>
      <w:r>
        <w:t>.</w:t>
      </w:r>
      <w:r w:rsidR="00FA3F83">
        <w:t>653</w:t>
      </w:r>
      <w:r>
        <w:t>,</w:t>
      </w:r>
      <w:r w:rsidR="00FA3F83">
        <w:t>29</w:t>
      </w:r>
      <w:r>
        <w:t xml:space="preserve"> eura, ukupni rashod 3</w:t>
      </w:r>
      <w:r w:rsidR="00FA3F83">
        <w:t>69</w:t>
      </w:r>
      <w:r>
        <w:t>.</w:t>
      </w:r>
      <w:r w:rsidR="00FA3F83">
        <w:t>601</w:t>
      </w:r>
      <w:r>
        <w:t>,</w:t>
      </w:r>
      <w:r w:rsidR="00FA3F83">
        <w:t>93</w:t>
      </w:r>
      <w:r>
        <w:t xml:space="preserve"> eura, </w:t>
      </w:r>
      <w:r w:rsidR="00FA3F83">
        <w:t xml:space="preserve">višak </w:t>
      </w:r>
      <w:r>
        <w:t xml:space="preserve">prihoda </w:t>
      </w:r>
      <w:r w:rsidR="00FA3F83">
        <w:t>iznosi 19.051,36</w:t>
      </w:r>
      <w:r>
        <w:t xml:space="preserve"> eura. </w:t>
      </w:r>
      <w:r w:rsidR="00FA3F83">
        <w:t>Višak prihoda dijelom pokriva preneseni manjak prihoda iz 2024.g.</w:t>
      </w:r>
    </w:p>
    <w:p w14:paraId="4DBDBE50" w14:textId="50EA86AB" w:rsidR="00AF16AA" w:rsidRDefault="00AF16AA" w:rsidP="00DC1732">
      <w:pPr>
        <w:jc w:val="both"/>
      </w:pPr>
      <w:r>
        <w:t xml:space="preserve">Donacije za proračunske korisnike, </w:t>
      </w:r>
      <w:r w:rsidRPr="007048F7">
        <w:rPr>
          <w:b/>
          <w:bCs/>
        </w:rPr>
        <w:t>Izvor 6.1.</w:t>
      </w:r>
      <w:r>
        <w:t xml:space="preserve"> Ukupni prihodi </w:t>
      </w:r>
      <w:r w:rsidR="00FA3F83">
        <w:t>6</w:t>
      </w:r>
      <w:r>
        <w:t>.</w:t>
      </w:r>
      <w:r w:rsidR="00FA3F83">
        <w:t>311</w:t>
      </w:r>
      <w:r>
        <w:t>,</w:t>
      </w:r>
      <w:r w:rsidR="00FA3F83">
        <w:t>68</w:t>
      </w:r>
      <w:r>
        <w:t xml:space="preserve"> eura, </w:t>
      </w:r>
      <w:r w:rsidR="00FA3F83">
        <w:t>u</w:t>
      </w:r>
      <w:r>
        <w:t xml:space="preserve">kupni rashodi </w:t>
      </w:r>
      <w:r w:rsidR="00FA3F83">
        <w:t>6</w:t>
      </w:r>
      <w:r>
        <w:t>.</w:t>
      </w:r>
      <w:r w:rsidR="00FA3F83">
        <w:t>311</w:t>
      </w:r>
      <w:r>
        <w:t>,</w:t>
      </w:r>
      <w:r w:rsidR="00FA3F83">
        <w:t>68 eura</w:t>
      </w:r>
      <w:r w:rsidR="007048F7">
        <w:t>. Odnose se na sufinanciranje rada sezonskih vatrogasaca od strane HVZ-a.</w:t>
      </w:r>
    </w:p>
    <w:p w14:paraId="7C7EC547" w14:textId="7F9344C1" w:rsidR="005F4FF6" w:rsidRDefault="00F535BF" w:rsidP="00A84F0B">
      <w:pPr>
        <w:spacing w:after="0"/>
        <w:jc w:val="both"/>
      </w:pPr>
      <w:r>
        <w:t>U izvještajno</w:t>
      </w:r>
      <w:r w:rsidR="008171BF">
        <w:t>j</w:t>
      </w:r>
      <w:r>
        <w:t xml:space="preserve"> godini</w:t>
      </w:r>
      <w:r w:rsidR="004F790A">
        <w:t xml:space="preserve"> najveći udio u ukupnim izvorima financiranja imaju </w:t>
      </w:r>
      <w:r w:rsidR="00F23F6D">
        <w:t xml:space="preserve">prihodi iz </w:t>
      </w:r>
      <w:r w:rsidR="009D7296">
        <w:t xml:space="preserve">nadležnog (gradskog) </w:t>
      </w:r>
      <w:r w:rsidR="00F23F6D">
        <w:t>proračuna za financiranje rashoda poslovanja koji čini udio od 38,</w:t>
      </w:r>
      <w:r w:rsidR="009D7296">
        <w:t>2</w:t>
      </w:r>
      <w:r w:rsidR="00F23F6D">
        <w:t xml:space="preserve">% i prešao je udio do </w:t>
      </w:r>
      <w:r w:rsidR="004F790A">
        <w:t xml:space="preserve">pomoći za minimalni standard decentraliziranih </w:t>
      </w:r>
      <w:r w:rsidR="00CE0EC9">
        <w:t>funkcija</w:t>
      </w:r>
      <w:r w:rsidR="00145505">
        <w:t xml:space="preserve"> </w:t>
      </w:r>
      <w:r w:rsidR="00F23F6D">
        <w:t>koji</w:t>
      </w:r>
      <w:r w:rsidR="00CE0EC9">
        <w:t xml:space="preserve"> čin</w:t>
      </w:r>
      <w:r w:rsidR="00F23F6D">
        <w:t>i</w:t>
      </w:r>
      <w:r w:rsidR="00145505">
        <w:t xml:space="preserve"> </w:t>
      </w:r>
      <w:r w:rsidR="009D7296">
        <w:t>29</w:t>
      </w:r>
      <w:r w:rsidR="00F23F6D">
        <w:t>,</w:t>
      </w:r>
      <w:r w:rsidR="009D7296">
        <w:t>16</w:t>
      </w:r>
      <w:r w:rsidR="00145505">
        <w:t>%</w:t>
      </w:r>
      <w:r w:rsidR="00F23F6D">
        <w:t xml:space="preserve"> realiziranog prihoda</w:t>
      </w:r>
      <w:r w:rsidR="00145505">
        <w:t xml:space="preserve">, </w:t>
      </w:r>
      <w:r w:rsidR="007700D9">
        <w:t>slijede</w:t>
      </w:r>
      <w:r w:rsidR="008171BF" w:rsidRPr="008171BF">
        <w:t xml:space="preserve"> </w:t>
      </w:r>
      <w:r w:rsidR="008171BF">
        <w:t xml:space="preserve">pomoći iz općinskog proračuna u </w:t>
      </w:r>
      <w:r w:rsidR="009D7296">
        <w:t xml:space="preserve">omjeru </w:t>
      </w:r>
      <w:r w:rsidR="008171BF">
        <w:t>od</w:t>
      </w:r>
      <w:r w:rsidR="009D7296">
        <w:t xml:space="preserve"> 20,12</w:t>
      </w:r>
      <w:r w:rsidR="008171BF">
        <w:t xml:space="preserve">%, </w:t>
      </w:r>
      <w:r w:rsidR="007700D9">
        <w:t xml:space="preserve"> </w:t>
      </w:r>
      <w:r w:rsidR="009F0463">
        <w:t xml:space="preserve">prihodi za posebne namjene proračunskih korisnika </w:t>
      </w:r>
      <w:r w:rsidR="009D7296">
        <w:t>čine 8</w:t>
      </w:r>
      <w:r w:rsidR="009F0463">
        <w:t>,</w:t>
      </w:r>
      <w:r w:rsidR="009D7296">
        <w:t>51</w:t>
      </w:r>
      <w:r w:rsidR="009F0463">
        <w:t xml:space="preserve">%, </w:t>
      </w:r>
      <w:r w:rsidR="00F23F6D">
        <w:t xml:space="preserve">te </w:t>
      </w:r>
      <w:r w:rsidR="009F0463">
        <w:t xml:space="preserve">vlastiti prihodi </w:t>
      </w:r>
      <w:r w:rsidR="009D7296">
        <w:t xml:space="preserve">od </w:t>
      </w:r>
      <w:r w:rsidR="00F23F6D">
        <w:t>3</w:t>
      </w:r>
      <w:r w:rsidR="009D7296">
        <w:t>,38</w:t>
      </w:r>
      <w:r w:rsidR="009F0463">
        <w:t>%</w:t>
      </w:r>
      <w:r w:rsidR="009C7E10">
        <w:t xml:space="preserve">. </w:t>
      </w:r>
    </w:p>
    <w:p w14:paraId="524FB3D3" w14:textId="77777777" w:rsidR="009D7296" w:rsidRDefault="009D7296" w:rsidP="00A84F0B">
      <w:pPr>
        <w:spacing w:after="0"/>
        <w:jc w:val="both"/>
        <w:rPr>
          <w:b/>
          <w:bCs/>
        </w:rPr>
      </w:pPr>
    </w:p>
    <w:p w14:paraId="19CBEB32" w14:textId="77777777" w:rsidR="009D7296" w:rsidRDefault="009D7296" w:rsidP="00A84F0B">
      <w:pPr>
        <w:spacing w:after="0"/>
        <w:jc w:val="both"/>
        <w:rPr>
          <w:b/>
          <w:bCs/>
        </w:rPr>
      </w:pPr>
    </w:p>
    <w:p w14:paraId="170D6AB4" w14:textId="77777777" w:rsidR="009D7296" w:rsidRDefault="009D7296" w:rsidP="00A84F0B">
      <w:pPr>
        <w:spacing w:after="0"/>
        <w:jc w:val="both"/>
        <w:rPr>
          <w:b/>
          <w:bCs/>
        </w:rPr>
      </w:pPr>
    </w:p>
    <w:p w14:paraId="76A14183" w14:textId="77777777" w:rsidR="009D7296" w:rsidRDefault="009D7296" w:rsidP="00A84F0B">
      <w:pPr>
        <w:spacing w:after="0"/>
        <w:jc w:val="both"/>
        <w:rPr>
          <w:b/>
          <w:bCs/>
        </w:rPr>
      </w:pPr>
    </w:p>
    <w:p w14:paraId="66CB0F2C" w14:textId="3CD1B9E3" w:rsidR="00A84F0B" w:rsidRDefault="00A84F0B" w:rsidP="00A84F0B">
      <w:pPr>
        <w:spacing w:after="0"/>
        <w:jc w:val="both"/>
        <w:rPr>
          <w:b/>
          <w:bCs/>
        </w:rPr>
      </w:pPr>
      <w:r w:rsidRPr="00A84F0B">
        <w:rPr>
          <w:b/>
          <w:bCs/>
        </w:rPr>
        <w:lastRenderedPageBreak/>
        <w:t>Grafikon: Grafički prikaz prihoda</w:t>
      </w:r>
      <w:r w:rsidR="004069B6">
        <w:rPr>
          <w:b/>
          <w:bCs/>
        </w:rPr>
        <w:t xml:space="preserve"> i rashoda</w:t>
      </w:r>
      <w:r w:rsidRPr="00A84F0B">
        <w:rPr>
          <w:b/>
          <w:bCs/>
        </w:rPr>
        <w:t xml:space="preserve"> po izvorima financiranja</w:t>
      </w:r>
    </w:p>
    <w:p w14:paraId="3E5E118C" w14:textId="54D503F1" w:rsidR="004069B6" w:rsidRDefault="00406D17" w:rsidP="00A84F0B">
      <w:pPr>
        <w:spacing w:after="0"/>
        <w:jc w:val="bot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7DE564" wp14:editId="59E14D78">
            <wp:simplePos x="0" y="0"/>
            <wp:positionH relativeFrom="margin">
              <wp:align>left</wp:align>
            </wp:positionH>
            <wp:positionV relativeFrom="paragraph">
              <wp:posOffset>189230</wp:posOffset>
            </wp:positionV>
            <wp:extent cx="6410325" cy="5534025"/>
            <wp:effectExtent l="0" t="0" r="9525" b="9525"/>
            <wp:wrapTopAndBottom/>
            <wp:docPr id="7" name="Grafikon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A58976" w14:textId="1292A14C" w:rsidR="004069B6" w:rsidRPr="00A84F0B" w:rsidRDefault="004069B6" w:rsidP="00A84F0B">
      <w:pPr>
        <w:spacing w:after="0"/>
        <w:jc w:val="both"/>
        <w:rPr>
          <w:b/>
          <w:bCs/>
        </w:rPr>
      </w:pPr>
    </w:p>
    <w:p w14:paraId="11F37666" w14:textId="12A5E310" w:rsidR="009F0463" w:rsidRDefault="009F0463" w:rsidP="00A84F0B">
      <w:pPr>
        <w:spacing w:after="0"/>
      </w:pPr>
    </w:p>
    <w:p w14:paraId="18560088" w14:textId="782AF476" w:rsidR="00E235F6" w:rsidRDefault="0064669D" w:rsidP="008E37CE">
      <w:pPr>
        <w:jc w:val="both"/>
      </w:pPr>
      <w:r w:rsidRPr="00842E1D">
        <w:rPr>
          <w:b/>
          <w:bCs/>
        </w:rPr>
        <w:t>RASHODI I IZDACI</w:t>
      </w:r>
      <w:r>
        <w:t xml:space="preserve"> - i</w:t>
      </w:r>
      <w:r w:rsidR="000E0A92">
        <w:t xml:space="preserve">z danog prikaza vidljivo je da su u </w:t>
      </w:r>
      <w:r w:rsidR="009C7E10">
        <w:t>razdoblju 1-</w:t>
      </w:r>
      <w:r w:rsidR="00842E1D">
        <w:t>12/</w:t>
      </w:r>
      <w:r w:rsidR="009C7E10">
        <w:t>202</w:t>
      </w:r>
      <w:r w:rsidR="004069B6">
        <w:t>5</w:t>
      </w:r>
      <w:r w:rsidR="000E0A92">
        <w:t xml:space="preserve">. god. ukupni rashodi i </w:t>
      </w:r>
      <w:bookmarkStart w:id="1" w:name="_Hlk129936291"/>
      <w:r w:rsidR="000E0A92" w:rsidRPr="00246ABA">
        <w:t>izdaci izvršeni u</w:t>
      </w:r>
      <w:r w:rsidR="000E0A92">
        <w:t xml:space="preserve"> iznosu </w:t>
      </w:r>
      <w:r w:rsidR="00842E1D">
        <w:t>1.</w:t>
      </w:r>
      <w:r w:rsidR="006E2681">
        <w:t>932</w:t>
      </w:r>
      <w:r w:rsidR="00842E1D">
        <w:t>.</w:t>
      </w:r>
      <w:r w:rsidR="006E2681">
        <w:t>737</w:t>
      </w:r>
      <w:r w:rsidR="00842E1D">
        <w:t>,</w:t>
      </w:r>
      <w:r w:rsidR="006E2681">
        <w:t>21</w:t>
      </w:r>
      <w:r w:rsidR="0023077E">
        <w:t xml:space="preserve"> eura</w:t>
      </w:r>
      <w:r w:rsidR="000E0A92">
        <w:t xml:space="preserve"> ili </w:t>
      </w:r>
      <w:r w:rsidR="00842E1D">
        <w:t>9</w:t>
      </w:r>
      <w:r w:rsidR="006E2681">
        <w:t>1</w:t>
      </w:r>
      <w:r w:rsidR="0048625A">
        <w:t>,</w:t>
      </w:r>
      <w:r w:rsidR="006E2681">
        <w:t>85</w:t>
      </w:r>
      <w:r w:rsidR="000E0A92">
        <w:t xml:space="preserve">% </w:t>
      </w:r>
      <w:bookmarkEnd w:id="1"/>
      <w:r w:rsidR="000E0A92">
        <w:t>godišnjeg plana. Ostvareni rashodi i izdaci u 202</w:t>
      </w:r>
      <w:r w:rsidR="006E2681">
        <w:t>5</w:t>
      </w:r>
      <w:r w:rsidR="000E0A92">
        <w:t>. god</w:t>
      </w:r>
      <w:r w:rsidR="008E37CE">
        <w:t>ini</w:t>
      </w:r>
      <w:r w:rsidR="000E0A92">
        <w:t xml:space="preserve"> veći su za </w:t>
      </w:r>
      <w:r w:rsidR="006E2681">
        <w:t>14</w:t>
      </w:r>
      <w:r w:rsidR="00226EB0">
        <w:t>,</w:t>
      </w:r>
      <w:r w:rsidR="006E2681">
        <w:t>3</w:t>
      </w:r>
      <w:r w:rsidR="000E0A92">
        <w:t xml:space="preserve">% u odnosu na prethodnu </w:t>
      </w:r>
      <w:r w:rsidR="00842E1D">
        <w:t>202</w:t>
      </w:r>
      <w:r w:rsidR="006E2681">
        <w:t>4</w:t>
      </w:r>
      <w:r w:rsidR="00842E1D">
        <w:t xml:space="preserve">. </w:t>
      </w:r>
      <w:r w:rsidR="000E0A92">
        <w:t>godinu.</w:t>
      </w:r>
    </w:p>
    <w:p w14:paraId="65C06EE4" w14:textId="1DDC481F" w:rsidR="00226EB0" w:rsidRDefault="000E0A92" w:rsidP="008E37CE">
      <w:pPr>
        <w:jc w:val="both"/>
      </w:pPr>
      <w:r>
        <w:t xml:space="preserve">U strukturi ukupno izvršenih rashoda i izdataka udjel rashoda </w:t>
      </w:r>
      <w:r w:rsidR="00842E1D">
        <w:t>poslovanja iznosi 1.</w:t>
      </w:r>
      <w:r w:rsidR="006E2681">
        <w:t>781</w:t>
      </w:r>
      <w:r w:rsidR="00842E1D">
        <w:t>.</w:t>
      </w:r>
      <w:r w:rsidR="006E2681">
        <w:t>334</w:t>
      </w:r>
      <w:r w:rsidR="00842E1D">
        <w:t>,</w:t>
      </w:r>
      <w:r w:rsidR="006E2681">
        <w:t>53</w:t>
      </w:r>
      <w:r w:rsidR="00842E1D">
        <w:t xml:space="preserve"> eura ili 9</w:t>
      </w:r>
      <w:r w:rsidR="006E2681">
        <w:t>2</w:t>
      </w:r>
      <w:r w:rsidR="00842E1D">
        <w:t>,</w:t>
      </w:r>
      <w:r w:rsidR="006E2681">
        <w:t>16</w:t>
      </w:r>
      <w:r w:rsidR="00406D17">
        <w:t>%</w:t>
      </w:r>
      <w:r w:rsidR="00842E1D">
        <w:t xml:space="preserve">, dok su rashodi </w:t>
      </w:r>
      <w:r>
        <w:t xml:space="preserve">za nabavu nefinancijske imovine </w:t>
      </w:r>
      <w:r w:rsidR="00842E1D">
        <w:t>15</w:t>
      </w:r>
      <w:r w:rsidR="006E2681">
        <w:t>1</w:t>
      </w:r>
      <w:r w:rsidR="00226EB0">
        <w:t>.</w:t>
      </w:r>
      <w:r w:rsidR="006E2681">
        <w:t>402</w:t>
      </w:r>
      <w:r w:rsidR="00226EB0">
        <w:t>,</w:t>
      </w:r>
      <w:r w:rsidR="006E2681">
        <w:t>6</w:t>
      </w:r>
      <w:r w:rsidR="00842E1D">
        <w:t>8</w:t>
      </w:r>
      <w:r w:rsidR="00226EB0">
        <w:t xml:space="preserve"> </w:t>
      </w:r>
      <w:r w:rsidR="00877366">
        <w:t>eura</w:t>
      </w:r>
      <w:r w:rsidR="00226EB0">
        <w:t xml:space="preserve"> ili </w:t>
      </w:r>
      <w:r w:rsidR="006E2681">
        <w:t>7,84</w:t>
      </w:r>
      <w:r w:rsidR="00226EB0">
        <w:t>%</w:t>
      </w:r>
      <w:r w:rsidR="00406D17">
        <w:t xml:space="preserve"> od ukupnih rashoda</w:t>
      </w:r>
      <w:r w:rsidR="00842E1D">
        <w:t xml:space="preserve">. </w:t>
      </w:r>
    </w:p>
    <w:p w14:paraId="614E15F0" w14:textId="2B8696CE" w:rsidR="000E0A92" w:rsidRDefault="000E0A92" w:rsidP="008E37CE">
      <w:pPr>
        <w:jc w:val="both"/>
      </w:pPr>
      <w:r w:rsidRPr="00842E1D">
        <w:rPr>
          <w:b/>
          <w:bCs/>
        </w:rPr>
        <w:t>RASHODI POSLOVANJA</w:t>
      </w:r>
      <w:r>
        <w:t xml:space="preserve"> Rashodi poslovanja</w:t>
      </w:r>
      <w:r w:rsidR="00842E1D">
        <w:t xml:space="preserve"> koji iznose 1.</w:t>
      </w:r>
      <w:r w:rsidR="00936574">
        <w:t>781</w:t>
      </w:r>
      <w:r w:rsidR="00842E1D">
        <w:t>.</w:t>
      </w:r>
      <w:r w:rsidR="00936574">
        <w:t>334</w:t>
      </w:r>
      <w:r w:rsidR="00842E1D">
        <w:t>,</w:t>
      </w:r>
      <w:r w:rsidR="00936574">
        <w:t>53</w:t>
      </w:r>
      <w:r w:rsidR="00842E1D">
        <w:t xml:space="preserve"> eura, </w:t>
      </w:r>
      <w:r>
        <w:t>izvršeni su</w:t>
      </w:r>
      <w:r w:rsidR="00842E1D">
        <w:t xml:space="preserve"> u 9</w:t>
      </w:r>
      <w:r w:rsidR="00936574">
        <w:t>3</w:t>
      </w:r>
      <w:r w:rsidR="00842E1D">
        <w:t xml:space="preserve">% </w:t>
      </w:r>
      <w:r>
        <w:t xml:space="preserve">plana, a u odnosu na prethodnu godinu veći su za </w:t>
      </w:r>
      <w:r w:rsidR="00936574">
        <w:t>6,3</w:t>
      </w:r>
      <w:r>
        <w:t>%.</w:t>
      </w:r>
      <w:r w:rsidR="00834C14">
        <w:t xml:space="preserve"> U sklopu istih bilježi se:</w:t>
      </w:r>
    </w:p>
    <w:p w14:paraId="2955EE59" w14:textId="42C99C1B" w:rsidR="00FA4397" w:rsidRDefault="00834C14" w:rsidP="008E37CE">
      <w:pPr>
        <w:jc w:val="both"/>
      </w:pPr>
      <w:r>
        <w:t xml:space="preserve">- </w:t>
      </w:r>
      <w:r w:rsidR="00877366">
        <w:t xml:space="preserve">Rashodi za zaposlene (31) čine </w:t>
      </w:r>
      <w:r w:rsidR="00842E1D">
        <w:t>8</w:t>
      </w:r>
      <w:r w:rsidR="00406D17">
        <w:t>4,15</w:t>
      </w:r>
      <w:r w:rsidR="00877366">
        <w:t>% rashoda poslovanja.</w:t>
      </w:r>
      <w:r w:rsidR="0048625A">
        <w:t xml:space="preserve"> U odnosu na prethodno razdoblje izdatak za plaće je veći za </w:t>
      </w:r>
      <w:r w:rsidR="00406D17">
        <w:t>9,56</w:t>
      </w:r>
      <w:r w:rsidR="0048625A">
        <w:t>%</w:t>
      </w:r>
      <w:r w:rsidR="00877366">
        <w:t xml:space="preserve">. </w:t>
      </w:r>
      <w:r w:rsidR="005F0AFA">
        <w:t>U tijeku 202</w:t>
      </w:r>
      <w:r w:rsidR="00406D17">
        <w:t>5</w:t>
      </w:r>
      <w:r w:rsidR="005F0AFA">
        <w:t>.g. u radni odnos na neodređeno vrijeme primljen</w:t>
      </w:r>
      <w:r w:rsidR="00406D17">
        <w:t xml:space="preserve"> je jedan </w:t>
      </w:r>
      <w:r w:rsidR="005F0AFA">
        <w:t>nov</w:t>
      </w:r>
      <w:r w:rsidR="00406D17">
        <w:t>i</w:t>
      </w:r>
      <w:r w:rsidR="005F0AFA">
        <w:t xml:space="preserve"> vatrogas</w:t>
      </w:r>
      <w:r w:rsidR="00406D17">
        <w:t>a</w:t>
      </w:r>
      <w:r w:rsidR="005F0AFA">
        <w:t>c, te tri sezonska vatrogasca na određeno vrijeme.</w:t>
      </w:r>
      <w:r w:rsidR="00461077">
        <w:t xml:space="preserve"> </w:t>
      </w:r>
      <w:r w:rsidR="00406D17">
        <w:t>Nije bilo odlazaka u</w:t>
      </w:r>
      <w:r w:rsidR="00461077">
        <w:t xml:space="preserve"> mirovinu zaposlenika.</w:t>
      </w:r>
    </w:p>
    <w:p w14:paraId="3F2F4A02" w14:textId="1FFED252" w:rsidR="002113E9" w:rsidRDefault="0048625A" w:rsidP="002113E9">
      <w:pPr>
        <w:jc w:val="both"/>
      </w:pPr>
      <w:r>
        <w:t>-</w:t>
      </w:r>
      <w:r w:rsidR="00445BBA">
        <w:t>Materijalni rashodi (32)</w:t>
      </w:r>
      <w:r w:rsidR="00246ABA">
        <w:t xml:space="preserve"> izvršeni su u iznosu od </w:t>
      </w:r>
      <w:r w:rsidR="00461077">
        <w:t>282</w:t>
      </w:r>
      <w:r w:rsidR="00246ABA">
        <w:t>.</w:t>
      </w:r>
      <w:r w:rsidR="00406D17">
        <w:t>254</w:t>
      </w:r>
      <w:r w:rsidR="00246ABA">
        <w:t>,</w:t>
      </w:r>
      <w:r w:rsidR="00406D17">
        <w:t>37</w:t>
      </w:r>
      <w:r w:rsidR="00246ABA">
        <w:t xml:space="preserve"> </w:t>
      </w:r>
      <w:r w:rsidR="00110906">
        <w:t xml:space="preserve">eura </w:t>
      </w:r>
      <w:r w:rsidR="00246ABA">
        <w:t xml:space="preserve">ili </w:t>
      </w:r>
      <w:r w:rsidR="00461077">
        <w:t>1</w:t>
      </w:r>
      <w:r w:rsidR="00406D17">
        <w:t>5</w:t>
      </w:r>
      <w:r w:rsidR="00461077">
        <w:t>,</w:t>
      </w:r>
      <w:r w:rsidR="00406D17">
        <w:t>84</w:t>
      </w:r>
      <w:r w:rsidR="00246ABA">
        <w:t xml:space="preserve">% </w:t>
      </w:r>
      <w:r w:rsidR="00461077">
        <w:t>rashoda poslovanja</w:t>
      </w:r>
      <w:r w:rsidR="00246ABA">
        <w:t>. Materijalni rashodi</w:t>
      </w:r>
      <w:r w:rsidR="00445BBA">
        <w:t xml:space="preserve"> bilježe </w:t>
      </w:r>
      <w:r w:rsidR="00406D17">
        <w:t>povećanje u stavkama usavršavanja zaposlenika jer se rashod u proteklim godinama prikazivao kroz</w:t>
      </w:r>
      <w:r w:rsidR="002113E9">
        <w:t xml:space="preserve"> </w:t>
      </w:r>
      <w:r w:rsidR="002113E9">
        <w:lastRenderedPageBreak/>
        <w:t xml:space="preserve">rashode naknada građanima (račun 372) dok se od ove godine prikazuju kroz rashod stručnog usavršavanja zaposlenika(račun 3213). Ti se rashodi odnose na školarine za prekvalifikaciju dva vatrogasna tehničara u školskoj godini 2024/2025 i jednog novo zaposlenog u školskoj godini 2025/2026 i plaćene školarine za četiri zaposlenika koji pohađaju Veleučilište </w:t>
      </w:r>
      <w:proofErr w:type="spellStart"/>
      <w:r w:rsidR="002113E9">
        <w:t>Securus</w:t>
      </w:r>
      <w:proofErr w:type="spellEnd"/>
      <w:r w:rsidR="002113E9">
        <w:t xml:space="preserve"> radi mogućnosti preuzimanja radnog mjesta voditelja smjene.</w:t>
      </w:r>
    </w:p>
    <w:p w14:paraId="42EAABCA" w14:textId="14371515" w:rsidR="002113E9" w:rsidRDefault="002113E9" w:rsidP="0060509F">
      <w:pPr>
        <w:jc w:val="both"/>
      </w:pPr>
      <w:r>
        <w:t>Smanjenje rashoda, ali ne značajno i ovisno o potrebama ustanove za održavanjem opreme, bilježi se na rashodima za materijal i energiju, te usluga tekućeg i investicijskog održavanja.</w:t>
      </w:r>
    </w:p>
    <w:p w14:paraId="3E7C0B3E" w14:textId="660D9EC5" w:rsidR="00461077" w:rsidRDefault="001618FE" w:rsidP="00461077">
      <w:pPr>
        <w:jc w:val="both"/>
      </w:pPr>
      <w:bookmarkStart w:id="2" w:name="_Hlk129955572"/>
      <w:r w:rsidRPr="002113E9">
        <w:rPr>
          <w:b/>
          <w:bCs/>
        </w:rPr>
        <w:t xml:space="preserve">RASHODI </w:t>
      </w:r>
      <w:r w:rsidR="002113E9">
        <w:rPr>
          <w:b/>
          <w:bCs/>
        </w:rPr>
        <w:t xml:space="preserve">ZA NABAVU </w:t>
      </w:r>
      <w:r w:rsidRPr="002113E9">
        <w:rPr>
          <w:b/>
          <w:bCs/>
        </w:rPr>
        <w:t>NEFINANCIJSKE IMOVINE</w:t>
      </w:r>
      <w:r>
        <w:t xml:space="preserve"> </w:t>
      </w:r>
      <w:bookmarkEnd w:id="2"/>
      <w:r w:rsidR="00CC6D3A">
        <w:t>- r</w:t>
      </w:r>
      <w:r w:rsidR="000E0A92">
        <w:t xml:space="preserve">ashodi za nabavu nefinancijske imovine planirani su u iznosu od </w:t>
      </w:r>
      <w:r w:rsidR="005F0AFA">
        <w:t>1</w:t>
      </w:r>
      <w:r w:rsidR="002113E9">
        <w:t>89</w:t>
      </w:r>
      <w:r w:rsidR="005F0AFA">
        <w:t>.</w:t>
      </w:r>
      <w:r w:rsidR="002113E9">
        <w:t>9</w:t>
      </w:r>
      <w:r w:rsidR="005F0AFA">
        <w:t>00</w:t>
      </w:r>
      <w:r w:rsidR="004236CF">
        <w:t>,00</w:t>
      </w:r>
      <w:r w:rsidR="000E0A92">
        <w:t xml:space="preserve"> </w:t>
      </w:r>
      <w:r w:rsidR="00110906">
        <w:t>eura</w:t>
      </w:r>
      <w:r w:rsidR="000E0A92">
        <w:t xml:space="preserve">, a izvršeni su u iznosu od </w:t>
      </w:r>
      <w:r w:rsidR="00461077">
        <w:t>1</w:t>
      </w:r>
      <w:r w:rsidR="005F0AFA">
        <w:t>5</w:t>
      </w:r>
      <w:r w:rsidR="002113E9">
        <w:t>1</w:t>
      </w:r>
      <w:r w:rsidR="004236CF">
        <w:t>.</w:t>
      </w:r>
      <w:r w:rsidR="002113E9">
        <w:t>402</w:t>
      </w:r>
      <w:r w:rsidR="00110906">
        <w:t>,</w:t>
      </w:r>
      <w:r w:rsidR="002113E9">
        <w:t>68</w:t>
      </w:r>
      <w:r w:rsidR="00110906">
        <w:t xml:space="preserve"> eura</w:t>
      </w:r>
      <w:r w:rsidR="000E0A92">
        <w:t xml:space="preserve"> ili </w:t>
      </w:r>
      <w:r w:rsidR="002113E9">
        <w:t>80</w:t>
      </w:r>
      <w:r w:rsidR="000E0A92">
        <w:t>% godišnjeg plana</w:t>
      </w:r>
      <w:r w:rsidR="00F00AF8">
        <w:t>, odnosno 10 puta su veći u odnosu na proteklo razdoblje</w:t>
      </w:r>
      <w:r w:rsidR="000E0A92">
        <w:t>.</w:t>
      </w:r>
      <w:r w:rsidR="00461077">
        <w:t xml:space="preserve"> </w:t>
      </w:r>
      <w:r w:rsidR="00F00AF8">
        <w:t>R</w:t>
      </w:r>
      <w:r w:rsidR="00461077">
        <w:t xml:space="preserve">ealizirana </w:t>
      </w:r>
      <w:r w:rsidR="00F00AF8">
        <w:t xml:space="preserve">je </w:t>
      </w:r>
      <w:r w:rsidR="00461077">
        <w:t xml:space="preserve">zamjena stolarije u vatrogasnom domu </w:t>
      </w:r>
      <w:r w:rsidR="00F00AF8">
        <w:t>koja je prvotno bila planirana u 2024.g., te je nabavljeno novo zapovjedno vozilo.</w:t>
      </w:r>
      <w:r w:rsidR="00461077">
        <w:t xml:space="preserve"> </w:t>
      </w:r>
    </w:p>
    <w:p w14:paraId="47C2D7DF" w14:textId="37C82310" w:rsidR="005F0AFA" w:rsidRDefault="005F0AFA" w:rsidP="00CC6D3A"/>
    <w:p w14:paraId="743897F0" w14:textId="015C36D1" w:rsidR="00CC6D3A" w:rsidRPr="002015D0" w:rsidRDefault="00CC6D3A" w:rsidP="00DC1732">
      <w:pPr>
        <w:jc w:val="both"/>
        <w:rPr>
          <w:b/>
          <w:bCs/>
        </w:rPr>
      </w:pPr>
      <w:r w:rsidRPr="002015D0">
        <w:rPr>
          <w:b/>
          <w:bCs/>
        </w:rPr>
        <w:t xml:space="preserve">Preneseni  manjak poslovanja (9222)  iznosi </w:t>
      </w:r>
      <w:r w:rsidR="005F0AFA">
        <w:rPr>
          <w:b/>
          <w:bCs/>
        </w:rPr>
        <w:t>34</w:t>
      </w:r>
      <w:r w:rsidR="009E1602" w:rsidRPr="002015D0">
        <w:rPr>
          <w:b/>
          <w:bCs/>
        </w:rPr>
        <w:t>.</w:t>
      </w:r>
      <w:r w:rsidR="005F0AFA">
        <w:rPr>
          <w:b/>
          <w:bCs/>
        </w:rPr>
        <w:t>634</w:t>
      </w:r>
      <w:r w:rsidR="009E1602" w:rsidRPr="002015D0">
        <w:rPr>
          <w:b/>
          <w:bCs/>
        </w:rPr>
        <w:t>,</w:t>
      </w:r>
      <w:r w:rsidR="005F0AFA">
        <w:rPr>
          <w:b/>
          <w:bCs/>
        </w:rPr>
        <w:t>00</w:t>
      </w:r>
      <w:r w:rsidR="009E1602" w:rsidRPr="002015D0">
        <w:rPr>
          <w:b/>
          <w:bCs/>
        </w:rPr>
        <w:t xml:space="preserve"> eura</w:t>
      </w:r>
    </w:p>
    <w:p w14:paraId="72149832" w14:textId="77777777" w:rsidR="00F00AF8" w:rsidRDefault="009E1602" w:rsidP="00DC1732">
      <w:pPr>
        <w:jc w:val="both"/>
      </w:pPr>
      <w:r>
        <w:t>Preneseni manjak poslovanja iz 202</w:t>
      </w:r>
      <w:r w:rsidR="00F00AF8">
        <w:t>4</w:t>
      </w:r>
      <w:r>
        <w:t>.g.</w:t>
      </w:r>
      <w:r w:rsidR="005F0AFA">
        <w:t xml:space="preserve"> </w:t>
      </w:r>
      <w:r>
        <w:t xml:space="preserve">iznosi </w:t>
      </w:r>
      <w:r w:rsidR="00F00AF8">
        <w:t>172.401,74</w:t>
      </w:r>
      <w:r>
        <w:t xml:space="preserve"> eura</w:t>
      </w:r>
      <w:r w:rsidR="005F0AFA">
        <w:t>,</w:t>
      </w:r>
      <w:r w:rsidR="00F00AF8" w:rsidRPr="00F00AF8">
        <w:t xml:space="preserve"> </w:t>
      </w:r>
      <w:r w:rsidR="00F00AF8">
        <w:t>ukalkulirani rashodi na dan 31.12.24. koji su plaćeni u 2025.g. iznose 133.669,40 eura, a razlika je stvarni manjak po izvoru 5.5.1. koji je pokriven iz uplata općina u 2025.g.</w:t>
      </w:r>
    </w:p>
    <w:p w14:paraId="3FE5900D" w14:textId="469A90D2" w:rsidR="00CC6D3A" w:rsidRDefault="00461077" w:rsidP="00DC1732">
      <w:pPr>
        <w:jc w:val="both"/>
      </w:pPr>
      <w:r>
        <w:t>U tablici u nastavku su prikazani rezultati višak/manjak po izvorima financiranja</w:t>
      </w:r>
      <w:r w:rsidR="009E28DF">
        <w:t xml:space="preserve"> poslovanja u 202</w:t>
      </w:r>
      <w:r w:rsidR="00F00AF8">
        <w:t>5</w:t>
      </w:r>
      <w:r w:rsidR="009E28DF">
        <w:t xml:space="preserve">.g. </w:t>
      </w:r>
      <w:r>
        <w:t xml:space="preserve">Manjkovi po izvoru 1.4. opći prihod </w:t>
      </w:r>
      <w:r w:rsidR="009E28DF">
        <w:t>i po izvoru 5.5.1 pomoći iz općinskog proračuna odnose se na obračunate rashode u 202</w:t>
      </w:r>
      <w:r w:rsidR="00F00AF8">
        <w:t>5</w:t>
      </w:r>
      <w:r w:rsidR="009E28DF">
        <w:t>.g. koji su plaćeni u 202</w:t>
      </w:r>
      <w:r w:rsidR="00F00AF8">
        <w:t>6</w:t>
      </w:r>
      <w:r w:rsidR="009E28DF">
        <w:t>. godini. Ukalkulirani rashodi na dan 31.12.2</w:t>
      </w:r>
      <w:r w:rsidR="00F00AF8">
        <w:t>5</w:t>
      </w:r>
      <w:r w:rsidR="009E28DF">
        <w:t>. koji su plaćeni u 202</w:t>
      </w:r>
      <w:r w:rsidR="00F00AF8">
        <w:t>6</w:t>
      </w:r>
      <w:r w:rsidR="009E28DF">
        <w:t xml:space="preserve">.g. iznose </w:t>
      </w:r>
      <w:r w:rsidR="00F00AF8">
        <w:t>156</w:t>
      </w:r>
      <w:r w:rsidR="009E28DF">
        <w:t>.</w:t>
      </w:r>
      <w:r w:rsidR="00F00AF8">
        <w:t>450</w:t>
      </w:r>
      <w:r w:rsidR="009E28DF">
        <w:t>,</w:t>
      </w:r>
      <w:r w:rsidR="00F00AF8">
        <w:t>25</w:t>
      </w:r>
      <w:r w:rsidR="009E28DF">
        <w:t xml:space="preserve"> eura, a razlika je stvarni m</w:t>
      </w:r>
      <w:r w:rsidR="004E6AE0">
        <w:t xml:space="preserve">anjak </w:t>
      </w:r>
      <w:r w:rsidR="009E28DF">
        <w:t xml:space="preserve">po izvoru 5.5.1. koji </w:t>
      </w:r>
      <w:r w:rsidR="004E6AE0">
        <w:t>će biti pokriven iz uplata koje će općine izvršiti u 202</w:t>
      </w:r>
      <w:r w:rsidR="00F00AF8">
        <w:t>6</w:t>
      </w:r>
      <w:r w:rsidR="004E6AE0">
        <w:t>.g. Višak vlastitih prihoda bit će utrošeni na rashode poslovanja.</w:t>
      </w:r>
    </w:p>
    <w:p w14:paraId="4368B63E" w14:textId="0CE27C8E" w:rsidR="00A84F0B" w:rsidRDefault="00A84F0B" w:rsidP="00DC1732">
      <w:pPr>
        <w:jc w:val="both"/>
        <w:rPr>
          <w:b/>
          <w:bCs/>
        </w:rPr>
      </w:pPr>
      <w:r w:rsidRPr="00A84F0B">
        <w:rPr>
          <w:b/>
          <w:bCs/>
        </w:rPr>
        <w:t>Tabela: Razlika prihoda i rashoda po izvorima ostvaren u 202</w:t>
      </w:r>
      <w:r w:rsidR="00F00AF8">
        <w:rPr>
          <w:b/>
          <w:bCs/>
        </w:rPr>
        <w:t>5</w:t>
      </w:r>
      <w:r w:rsidRPr="00A84F0B">
        <w:rPr>
          <w:b/>
          <w:bCs/>
        </w:rPr>
        <w:t>.g.</w:t>
      </w:r>
    </w:p>
    <w:p w14:paraId="70DDC4C7" w14:textId="77777777" w:rsidR="00075D3D" w:rsidRDefault="00075D3D" w:rsidP="00DC1732">
      <w:pPr>
        <w:jc w:val="both"/>
        <w:rPr>
          <w:b/>
          <w:bCs/>
        </w:rPr>
      </w:pPr>
    </w:p>
    <w:p w14:paraId="5BD76227" w14:textId="31456A54" w:rsidR="00F00AF8" w:rsidRDefault="00075D3D" w:rsidP="00DC1732">
      <w:pPr>
        <w:jc w:val="both"/>
        <w:rPr>
          <w:b/>
          <w:bCs/>
        </w:rPr>
      </w:pPr>
      <w:r w:rsidRPr="00075D3D">
        <w:rPr>
          <w:noProof/>
        </w:rPr>
        <w:drawing>
          <wp:inline distT="0" distB="0" distL="0" distR="0" wp14:anchorId="6036095B" wp14:editId="604A0DB7">
            <wp:extent cx="6408420" cy="1878965"/>
            <wp:effectExtent l="0" t="0" r="0" b="6985"/>
            <wp:docPr id="937123629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8A434" w14:textId="51D8FE9F" w:rsidR="009E28DF" w:rsidRDefault="004766B3" w:rsidP="004766B3">
      <w:r w:rsidRPr="004766B3">
        <w:t>Manjak prihoda iz izvora 1.4.</w:t>
      </w:r>
      <w:r>
        <w:t xml:space="preserve"> Opći prihod u iznosu od </w:t>
      </w:r>
      <w:r w:rsidR="00075D3D">
        <w:t>95</w:t>
      </w:r>
      <w:r>
        <w:t>.</w:t>
      </w:r>
      <w:r w:rsidR="00075D3D">
        <w:t>784</w:t>
      </w:r>
      <w:r>
        <w:t>,</w:t>
      </w:r>
      <w:r w:rsidR="00075D3D">
        <w:t>0</w:t>
      </w:r>
      <w:r>
        <w:t>0 eura čine rashodi plaća za 12/2</w:t>
      </w:r>
      <w:r w:rsidR="00075D3D">
        <w:t>5</w:t>
      </w:r>
      <w:r>
        <w:t xml:space="preserve"> isplaćeni u 1/2</w:t>
      </w:r>
      <w:r w:rsidR="00075D3D">
        <w:t>6</w:t>
      </w:r>
      <w:r>
        <w:t xml:space="preserve"> u iznosu od </w:t>
      </w:r>
      <w:r w:rsidR="00075D3D">
        <w:t>90</w:t>
      </w:r>
      <w:r>
        <w:t>.</w:t>
      </w:r>
      <w:r w:rsidR="00075D3D">
        <w:t>302</w:t>
      </w:r>
      <w:r>
        <w:t>,</w:t>
      </w:r>
      <w:r w:rsidR="00075D3D">
        <w:t>11</w:t>
      </w:r>
      <w:r>
        <w:t xml:space="preserve"> eura, i rashoda po računima u iznosu od </w:t>
      </w:r>
      <w:r w:rsidR="00075D3D">
        <w:t>5</w:t>
      </w:r>
      <w:r>
        <w:t>.</w:t>
      </w:r>
      <w:r w:rsidR="00075D3D">
        <w:t>481</w:t>
      </w:r>
      <w:r>
        <w:t>,</w:t>
      </w:r>
      <w:r w:rsidR="00075D3D">
        <w:t>89</w:t>
      </w:r>
      <w:r>
        <w:t xml:space="preserve"> eura. Navedeni manjak je pokriven u siječnju 202</w:t>
      </w:r>
      <w:r w:rsidR="00075D3D">
        <w:t>6</w:t>
      </w:r>
      <w:r>
        <w:t xml:space="preserve">.g. </w:t>
      </w:r>
      <w:r w:rsidR="00075D3D">
        <w:t>k</w:t>
      </w:r>
      <w:r>
        <w:t>ada su rashodi plaćeni, priznat je i prihod po izvoru 1.4.</w:t>
      </w:r>
    </w:p>
    <w:p w14:paraId="63122560" w14:textId="7CA013C1" w:rsidR="004766B3" w:rsidRPr="004766B3" w:rsidRDefault="004766B3" w:rsidP="004766B3">
      <w:r>
        <w:t xml:space="preserve">Manjak prihoda iz izvora 5.5.1. Pomoći iz općinskog proračuna iznosi </w:t>
      </w:r>
      <w:r w:rsidR="00075D3D">
        <w:t>90</w:t>
      </w:r>
      <w:r>
        <w:t>.</w:t>
      </w:r>
      <w:r w:rsidR="00075D3D">
        <w:t>217</w:t>
      </w:r>
      <w:r>
        <w:t>,</w:t>
      </w:r>
      <w:r w:rsidR="00075D3D">
        <w:t>85</w:t>
      </w:r>
      <w:r>
        <w:t xml:space="preserve"> eura, a čine ga rashodi plaće za 12/2</w:t>
      </w:r>
      <w:r w:rsidR="00075D3D">
        <w:t>5</w:t>
      </w:r>
      <w:r>
        <w:t xml:space="preserve"> u iznosu od </w:t>
      </w:r>
      <w:r w:rsidR="00075D3D">
        <w:t>48</w:t>
      </w:r>
      <w:r>
        <w:t>.</w:t>
      </w:r>
      <w:r w:rsidR="00075D3D">
        <w:t>265</w:t>
      </w:r>
      <w:r>
        <w:t>,</w:t>
      </w:r>
      <w:r w:rsidR="00075D3D">
        <w:t>93</w:t>
      </w:r>
      <w:r>
        <w:t xml:space="preserve"> eura</w:t>
      </w:r>
      <w:r w:rsidR="007C01AB">
        <w:t xml:space="preserve"> koja je isplaćena u siječnju 202</w:t>
      </w:r>
      <w:r w:rsidR="00075D3D">
        <w:t>6</w:t>
      </w:r>
      <w:r w:rsidR="007C01AB">
        <w:t>.g.</w:t>
      </w:r>
      <w:r>
        <w:t>, obveze za račune plaćene u 202</w:t>
      </w:r>
      <w:r w:rsidR="00075D3D">
        <w:t>6</w:t>
      </w:r>
      <w:r>
        <w:t xml:space="preserve">.g. </w:t>
      </w:r>
      <w:r w:rsidR="00075D3D">
        <w:t>2</w:t>
      </w:r>
      <w:r>
        <w:t>.</w:t>
      </w:r>
      <w:r w:rsidR="00075D3D">
        <w:t>678</w:t>
      </w:r>
      <w:r>
        <w:t>,</w:t>
      </w:r>
      <w:r w:rsidR="00075D3D">
        <w:t>11</w:t>
      </w:r>
      <w:r>
        <w:t xml:space="preserve"> eura, te stvarni manjak u iznosu od </w:t>
      </w:r>
      <w:r w:rsidR="00075D3D">
        <w:t>39</w:t>
      </w:r>
      <w:r>
        <w:t>.</w:t>
      </w:r>
      <w:r w:rsidR="00075D3D">
        <w:t>273</w:t>
      </w:r>
      <w:r>
        <w:t>,</w:t>
      </w:r>
      <w:r w:rsidR="00075D3D">
        <w:t>81</w:t>
      </w:r>
      <w:r>
        <w:t xml:space="preserve"> eura p</w:t>
      </w:r>
      <w:r w:rsidR="007C01AB">
        <w:t xml:space="preserve">rema konsolidiranom financijskom izvještaju za JVP kojega je sastavio Upravni odjel za financije u Gradu Poreču i po kojemu su općine obvezne uplatiti razliku prihoda u JVP u 2025.g. </w:t>
      </w:r>
    </w:p>
    <w:p w14:paraId="6EB14EB3" w14:textId="77777777" w:rsidR="009E28DF" w:rsidRDefault="009E28DF" w:rsidP="009E28DF">
      <w:pPr>
        <w:pStyle w:val="Odlomakpopisa"/>
        <w:ind w:left="360"/>
        <w:jc w:val="both"/>
        <w:rPr>
          <w:b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BC479C" w14:textId="680FE4A4" w:rsidR="00D334EA" w:rsidRPr="00C768D1" w:rsidRDefault="00D334EA" w:rsidP="00C768D1">
      <w:pPr>
        <w:pStyle w:val="Odlomakpopisa"/>
        <w:numPr>
          <w:ilvl w:val="0"/>
          <w:numId w:val="7"/>
        </w:numPr>
        <w:jc w:val="both"/>
        <w:rPr>
          <w:b/>
          <w:bCs/>
          <w:color w:val="385623" w:themeColor="accent6" w:themeShade="8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68D1">
        <w:rPr>
          <w:b/>
          <w:bCs/>
          <w:color w:val="385623" w:themeColor="accent6" w:themeShade="8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POSEBNI IZVJEŠTAJI</w:t>
      </w:r>
    </w:p>
    <w:p w14:paraId="156D591F" w14:textId="77777777" w:rsidR="00695CF4" w:rsidRDefault="00695CF4" w:rsidP="00695CF4">
      <w:pPr>
        <w:pStyle w:val="Odlomakpopisa"/>
        <w:ind w:left="360"/>
        <w:jc w:val="both"/>
        <w:rPr>
          <w:b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23666F" w14:textId="5783A758" w:rsidR="00605031" w:rsidRDefault="00605031" w:rsidP="00605031">
      <w:pPr>
        <w:pStyle w:val="Odlomakpopisa"/>
        <w:ind w:left="360"/>
        <w:jc w:val="both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605031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5.1. </w:t>
      </w:r>
      <w:r w:rsidR="002015D0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IZVJEŠTAJ O STANJU POTRAŽIVANJA I DOSPJELIH OBVEZA </w:t>
      </w:r>
    </w:p>
    <w:p w14:paraId="070BF1C6" w14:textId="77777777" w:rsidR="00605031" w:rsidRPr="00605031" w:rsidRDefault="00605031" w:rsidP="00605031">
      <w:pPr>
        <w:pStyle w:val="Odlomakpopisa"/>
        <w:ind w:left="360"/>
        <w:jc w:val="both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0C801C48" w14:textId="01A1C64F" w:rsidR="00605031" w:rsidRDefault="00D82177" w:rsidP="00D82177">
      <w:pPr>
        <w:jc w:val="both"/>
      </w:pPr>
      <w:r>
        <w:rPr>
          <w:bCs/>
        </w:rPr>
        <w:t>Ukupna potraživanja na dan 3</w:t>
      </w:r>
      <w:r w:rsidR="009E28DF">
        <w:rPr>
          <w:bCs/>
        </w:rPr>
        <w:t>1</w:t>
      </w:r>
      <w:r>
        <w:rPr>
          <w:bCs/>
        </w:rPr>
        <w:t>.</w:t>
      </w:r>
      <w:r w:rsidR="009E28DF">
        <w:rPr>
          <w:bCs/>
        </w:rPr>
        <w:t>12</w:t>
      </w:r>
      <w:r>
        <w:rPr>
          <w:bCs/>
        </w:rPr>
        <w:t>.202</w:t>
      </w:r>
      <w:r w:rsidR="008D3C64">
        <w:rPr>
          <w:bCs/>
        </w:rPr>
        <w:t>5</w:t>
      </w:r>
      <w:r>
        <w:rPr>
          <w:bCs/>
        </w:rPr>
        <w:t>. godine iznos</w:t>
      </w:r>
      <w:r w:rsidR="004E6AE0">
        <w:rPr>
          <w:bCs/>
        </w:rPr>
        <w:t>e</w:t>
      </w:r>
      <w:r>
        <w:rPr>
          <w:bCs/>
        </w:rPr>
        <w:t xml:space="preserve"> </w:t>
      </w:r>
      <w:r w:rsidR="009E28DF">
        <w:rPr>
          <w:bCs/>
        </w:rPr>
        <w:t>146</w:t>
      </w:r>
      <w:r>
        <w:rPr>
          <w:bCs/>
        </w:rPr>
        <w:t>.</w:t>
      </w:r>
      <w:r w:rsidR="009E28DF">
        <w:rPr>
          <w:bCs/>
        </w:rPr>
        <w:t>448</w:t>
      </w:r>
      <w:r>
        <w:rPr>
          <w:bCs/>
        </w:rPr>
        <w:t>,</w:t>
      </w:r>
      <w:r w:rsidR="009E28DF">
        <w:rPr>
          <w:bCs/>
        </w:rPr>
        <w:t>86</w:t>
      </w:r>
      <w:r w:rsidR="00D334EA">
        <w:rPr>
          <w:bCs/>
        </w:rPr>
        <w:t xml:space="preserve"> eura</w:t>
      </w:r>
      <w:r>
        <w:rPr>
          <w:bCs/>
        </w:rPr>
        <w:t>, a sastoj</w:t>
      </w:r>
      <w:r w:rsidR="004E6AE0">
        <w:rPr>
          <w:bCs/>
        </w:rPr>
        <w:t>e</w:t>
      </w:r>
      <w:r>
        <w:rPr>
          <w:bCs/>
        </w:rPr>
        <w:t xml:space="preserve"> se iz</w:t>
      </w:r>
      <w:r w:rsidR="00D334EA">
        <w:rPr>
          <w:bCs/>
        </w:rPr>
        <w:t xml:space="preserve"> p</w:t>
      </w:r>
      <w:r>
        <w:rPr>
          <w:bCs/>
        </w:rPr>
        <w:t xml:space="preserve">otraživanja za više plaćene poreze i doprinose </w:t>
      </w:r>
      <w:r w:rsidR="00605031">
        <w:rPr>
          <w:bCs/>
        </w:rPr>
        <w:t>0,61 eura</w:t>
      </w:r>
      <w:r>
        <w:rPr>
          <w:bCs/>
        </w:rPr>
        <w:t>, ostala potraživanja (potraživanja od HZZO za bolovanje preko 42 dana)</w:t>
      </w:r>
      <w:r w:rsidR="00E373C5">
        <w:rPr>
          <w:bCs/>
        </w:rPr>
        <w:t xml:space="preserve"> </w:t>
      </w:r>
      <w:r w:rsidR="008D3C64">
        <w:rPr>
          <w:bCs/>
        </w:rPr>
        <w:t>1.566,48</w:t>
      </w:r>
      <w:r w:rsidR="00605031">
        <w:rPr>
          <w:bCs/>
        </w:rPr>
        <w:t xml:space="preserve"> eura</w:t>
      </w:r>
      <w:r>
        <w:rPr>
          <w:bCs/>
        </w:rPr>
        <w:t>,</w:t>
      </w:r>
      <w:r w:rsidR="00605031">
        <w:rPr>
          <w:bCs/>
        </w:rPr>
        <w:t xml:space="preserve"> </w:t>
      </w:r>
      <w:r>
        <w:rPr>
          <w:bCs/>
        </w:rPr>
        <w:t xml:space="preserve">potraživanja za </w:t>
      </w:r>
      <w:r>
        <w:t xml:space="preserve">pomoći iz proračuna koji nisu nadležni za </w:t>
      </w:r>
      <w:r w:rsidR="008D3C64">
        <w:t>90</w:t>
      </w:r>
      <w:r>
        <w:t>.</w:t>
      </w:r>
      <w:r w:rsidR="008D3C64">
        <w:t>217</w:t>
      </w:r>
      <w:r>
        <w:t>,</w:t>
      </w:r>
      <w:r w:rsidR="008D3C64">
        <w:t>85</w:t>
      </w:r>
      <w:r>
        <w:t xml:space="preserve"> </w:t>
      </w:r>
      <w:r w:rsidR="00605031">
        <w:t>eura</w:t>
      </w:r>
      <w:r>
        <w:t xml:space="preserve">, potraživanja za prihode od pruženih usluga </w:t>
      </w:r>
      <w:r w:rsidR="008D3C64">
        <w:t>5</w:t>
      </w:r>
      <w:r>
        <w:t>.</w:t>
      </w:r>
      <w:r w:rsidR="008D3C64">
        <w:t>846</w:t>
      </w:r>
      <w:r>
        <w:t>,</w:t>
      </w:r>
      <w:r w:rsidR="008D3C64">
        <w:t>22</w:t>
      </w:r>
      <w:r>
        <w:t xml:space="preserve"> </w:t>
      </w:r>
      <w:r w:rsidR="00605031">
        <w:t>eura</w:t>
      </w:r>
      <w:r w:rsidR="00D6010B">
        <w:t>,</w:t>
      </w:r>
      <w:r>
        <w:t xml:space="preserve"> potraživanja za sredstva uplaćena u nadležni proračun </w:t>
      </w:r>
      <w:r w:rsidR="008D3C64">
        <w:t>22</w:t>
      </w:r>
      <w:r>
        <w:t>.</w:t>
      </w:r>
      <w:r w:rsidR="008D3C64">
        <w:t>710</w:t>
      </w:r>
      <w:r>
        <w:t>,</w:t>
      </w:r>
      <w:r w:rsidR="008D3C64">
        <w:t>38</w:t>
      </w:r>
      <w:r>
        <w:t xml:space="preserve"> </w:t>
      </w:r>
      <w:r w:rsidR="00605031">
        <w:t>eura.</w:t>
      </w:r>
    </w:p>
    <w:p w14:paraId="4141ADFA" w14:textId="226DF955" w:rsidR="009E28DF" w:rsidRDefault="00D82177" w:rsidP="00A84F0B">
      <w:pPr>
        <w:spacing w:after="0"/>
        <w:jc w:val="both"/>
        <w:rPr>
          <w:bCs/>
        </w:rPr>
      </w:pPr>
      <w:r w:rsidRPr="008F15F3">
        <w:rPr>
          <w:bCs/>
        </w:rPr>
        <w:t>Stanje obveza na dan 3</w:t>
      </w:r>
      <w:r w:rsidR="009E28DF">
        <w:rPr>
          <w:bCs/>
        </w:rPr>
        <w:t>1</w:t>
      </w:r>
      <w:r w:rsidRPr="008F15F3">
        <w:rPr>
          <w:bCs/>
        </w:rPr>
        <w:t>.</w:t>
      </w:r>
      <w:r w:rsidR="009E28DF">
        <w:rPr>
          <w:bCs/>
        </w:rPr>
        <w:t>12</w:t>
      </w:r>
      <w:r w:rsidRPr="008F15F3">
        <w:rPr>
          <w:bCs/>
        </w:rPr>
        <w:t>.202</w:t>
      </w:r>
      <w:r w:rsidR="008D3C64">
        <w:rPr>
          <w:bCs/>
        </w:rPr>
        <w:t>5</w:t>
      </w:r>
      <w:r w:rsidRPr="008F15F3">
        <w:rPr>
          <w:bCs/>
        </w:rPr>
        <w:t>.</w:t>
      </w:r>
      <w:r w:rsidR="008D3C64">
        <w:rPr>
          <w:bCs/>
        </w:rPr>
        <w:t xml:space="preserve"> </w:t>
      </w:r>
      <w:r w:rsidR="00605031">
        <w:rPr>
          <w:bCs/>
        </w:rPr>
        <w:t>g</w:t>
      </w:r>
      <w:r w:rsidR="008D3C64">
        <w:rPr>
          <w:bCs/>
        </w:rPr>
        <w:t xml:space="preserve">odine </w:t>
      </w:r>
      <w:r w:rsidRPr="008F15F3">
        <w:rPr>
          <w:bCs/>
        </w:rPr>
        <w:t xml:space="preserve">iznosi </w:t>
      </w:r>
      <w:r w:rsidR="008D3C64">
        <w:rPr>
          <w:bCs/>
        </w:rPr>
        <w:t>199</w:t>
      </w:r>
      <w:r w:rsidR="005A775F">
        <w:rPr>
          <w:bCs/>
        </w:rPr>
        <w:t>.</w:t>
      </w:r>
      <w:r w:rsidR="008D3C64">
        <w:rPr>
          <w:bCs/>
        </w:rPr>
        <w:t>423</w:t>
      </w:r>
      <w:r w:rsidR="005A775F">
        <w:rPr>
          <w:bCs/>
        </w:rPr>
        <w:t>,</w:t>
      </w:r>
      <w:r w:rsidR="008D3C64">
        <w:rPr>
          <w:bCs/>
        </w:rPr>
        <w:t>28</w:t>
      </w:r>
      <w:r w:rsidR="00605031">
        <w:rPr>
          <w:bCs/>
        </w:rPr>
        <w:t xml:space="preserve"> eura</w:t>
      </w:r>
      <w:r w:rsidRPr="008F15F3">
        <w:rPr>
          <w:bCs/>
        </w:rPr>
        <w:t xml:space="preserve">, </w:t>
      </w:r>
      <w:r w:rsidR="004E6AE0">
        <w:rPr>
          <w:bCs/>
        </w:rPr>
        <w:t>odnose se</w:t>
      </w:r>
      <w:r w:rsidR="00605031">
        <w:rPr>
          <w:bCs/>
        </w:rPr>
        <w:t xml:space="preserve"> na</w:t>
      </w:r>
      <w:r w:rsidR="009E28DF">
        <w:rPr>
          <w:bCs/>
        </w:rPr>
        <w:t>:</w:t>
      </w:r>
    </w:p>
    <w:p w14:paraId="0BB665AC" w14:textId="4F7B6D59" w:rsidR="00A84F0B" w:rsidRDefault="009E28DF" w:rsidP="00A84F0B">
      <w:pPr>
        <w:spacing w:after="0"/>
        <w:jc w:val="both"/>
        <w:rPr>
          <w:bCs/>
        </w:rPr>
      </w:pPr>
      <w:r>
        <w:rPr>
          <w:bCs/>
        </w:rPr>
        <w:t xml:space="preserve">-obveze za zaposlene </w:t>
      </w:r>
      <w:r w:rsidR="00C768D1">
        <w:rPr>
          <w:bCs/>
        </w:rPr>
        <w:t>135</w:t>
      </w:r>
      <w:r w:rsidR="00A84F0B">
        <w:rPr>
          <w:bCs/>
        </w:rPr>
        <w:t>.</w:t>
      </w:r>
      <w:r w:rsidR="00C768D1">
        <w:rPr>
          <w:bCs/>
        </w:rPr>
        <w:t>491</w:t>
      </w:r>
      <w:r w:rsidR="00A84F0B">
        <w:rPr>
          <w:bCs/>
        </w:rPr>
        <w:t>,</w:t>
      </w:r>
      <w:r w:rsidR="00C768D1">
        <w:rPr>
          <w:bCs/>
        </w:rPr>
        <w:t>30</w:t>
      </w:r>
      <w:r w:rsidR="00A84F0B">
        <w:rPr>
          <w:bCs/>
        </w:rPr>
        <w:t xml:space="preserve"> eura za obračunatu plaću za 12/2</w:t>
      </w:r>
      <w:r w:rsidR="00C768D1">
        <w:rPr>
          <w:bCs/>
        </w:rPr>
        <w:t>5</w:t>
      </w:r>
      <w:r w:rsidR="00A84F0B">
        <w:rPr>
          <w:bCs/>
        </w:rPr>
        <w:t>,</w:t>
      </w:r>
    </w:p>
    <w:p w14:paraId="283E56AE" w14:textId="1B95370A" w:rsidR="00A84F0B" w:rsidRDefault="00A84F0B" w:rsidP="00A84F0B">
      <w:pPr>
        <w:spacing w:after="0"/>
        <w:jc w:val="both"/>
        <w:rPr>
          <w:bCs/>
        </w:rPr>
      </w:pPr>
      <w:r>
        <w:rPr>
          <w:bCs/>
        </w:rPr>
        <w:t>-</w:t>
      </w:r>
      <w:r w:rsidR="00605031">
        <w:rPr>
          <w:bCs/>
        </w:rPr>
        <w:t xml:space="preserve">obveze </w:t>
      </w:r>
      <w:r>
        <w:rPr>
          <w:bCs/>
        </w:rPr>
        <w:t>za materijalne rashode 1</w:t>
      </w:r>
      <w:r w:rsidR="00C768D1">
        <w:rPr>
          <w:bCs/>
        </w:rPr>
        <w:t>7</w:t>
      </w:r>
      <w:r>
        <w:rPr>
          <w:bCs/>
        </w:rPr>
        <w:t>.</w:t>
      </w:r>
      <w:r w:rsidR="00C768D1">
        <w:rPr>
          <w:bCs/>
        </w:rPr>
        <w:t>753</w:t>
      </w:r>
      <w:r>
        <w:rPr>
          <w:bCs/>
        </w:rPr>
        <w:t>,</w:t>
      </w:r>
      <w:r w:rsidR="00C768D1">
        <w:rPr>
          <w:bCs/>
        </w:rPr>
        <w:t>95</w:t>
      </w:r>
      <w:r>
        <w:rPr>
          <w:bCs/>
        </w:rPr>
        <w:t xml:space="preserve"> eura, od čega je na dan 31.12.2</w:t>
      </w:r>
      <w:r w:rsidR="00C768D1">
        <w:rPr>
          <w:bCs/>
        </w:rPr>
        <w:t>5</w:t>
      </w:r>
      <w:r>
        <w:rPr>
          <w:bCs/>
        </w:rPr>
        <w:t>. dospjelo 1</w:t>
      </w:r>
      <w:r w:rsidR="00C768D1">
        <w:rPr>
          <w:bCs/>
        </w:rPr>
        <w:t>08</w:t>
      </w:r>
      <w:r>
        <w:rPr>
          <w:bCs/>
        </w:rPr>
        <w:t>,</w:t>
      </w:r>
      <w:r w:rsidR="00C768D1">
        <w:rPr>
          <w:bCs/>
        </w:rPr>
        <w:t xml:space="preserve">75 </w:t>
      </w:r>
      <w:r>
        <w:rPr>
          <w:bCs/>
        </w:rPr>
        <w:t>eura,</w:t>
      </w:r>
    </w:p>
    <w:p w14:paraId="5FB08984" w14:textId="43D53994" w:rsidR="00A84F0B" w:rsidRDefault="00A84F0B" w:rsidP="00A84F0B">
      <w:pPr>
        <w:spacing w:after="0"/>
        <w:jc w:val="both"/>
        <w:rPr>
          <w:bCs/>
        </w:rPr>
      </w:pPr>
      <w:r>
        <w:rPr>
          <w:bCs/>
        </w:rPr>
        <w:t xml:space="preserve">-obveze za </w:t>
      </w:r>
      <w:r w:rsidR="00C768D1">
        <w:rPr>
          <w:bCs/>
        </w:rPr>
        <w:t>PDV po obračunu za 12/25</w:t>
      </w:r>
      <w:r>
        <w:rPr>
          <w:bCs/>
        </w:rPr>
        <w:t xml:space="preserve"> </w:t>
      </w:r>
      <w:r w:rsidR="00C768D1">
        <w:rPr>
          <w:bCs/>
        </w:rPr>
        <w:t>2.132,13</w:t>
      </w:r>
      <w:r>
        <w:rPr>
          <w:bCs/>
        </w:rPr>
        <w:t xml:space="preserve"> eura</w:t>
      </w:r>
    </w:p>
    <w:p w14:paraId="5B7259FE" w14:textId="6398A6D1" w:rsidR="00C768D1" w:rsidRDefault="00C768D1" w:rsidP="00A84F0B">
      <w:pPr>
        <w:spacing w:after="0"/>
        <w:jc w:val="both"/>
        <w:rPr>
          <w:bCs/>
        </w:rPr>
      </w:pPr>
      <w:r>
        <w:rPr>
          <w:bCs/>
        </w:rPr>
        <w:t>-obveze za nabavu nefinancijske imovine 3.205,00 eura</w:t>
      </w:r>
    </w:p>
    <w:p w14:paraId="1200B6D7" w14:textId="47F4BBD6" w:rsidR="00E373C5" w:rsidRDefault="00A84F0B" w:rsidP="00A84F0B">
      <w:pPr>
        <w:spacing w:after="0"/>
        <w:jc w:val="both"/>
        <w:rPr>
          <w:bCs/>
        </w:rPr>
      </w:pPr>
      <w:r>
        <w:rPr>
          <w:bCs/>
        </w:rPr>
        <w:t xml:space="preserve">-obveze </w:t>
      </w:r>
      <w:r w:rsidR="00605031">
        <w:rPr>
          <w:bCs/>
        </w:rPr>
        <w:t>proračunskih korisnika za povrat u proračun, a nastaje radi manjka prihoda iz izvora pomoći iz općinskih proračuna</w:t>
      </w:r>
      <w:r w:rsidR="004E6AE0">
        <w:rPr>
          <w:bCs/>
        </w:rPr>
        <w:t xml:space="preserve"> i potraživanja od HZZO za bolovanja</w:t>
      </w:r>
      <w:r>
        <w:rPr>
          <w:bCs/>
        </w:rPr>
        <w:t xml:space="preserve">, iznos od </w:t>
      </w:r>
      <w:r w:rsidR="00C768D1">
        <w:rPr>
          <w:bCs/>
        </w:rPr>
        <w:t>40</w:t>
      </w:r>
      <w:r>
        <w:rPr>
          <w:bCs/>
        </w:rPr>
        <w:t>.</w:t>
      </w:r>
      <w:r w:rsidR="00C768D1">
        <w:rPr>
          <w:bCs/>
        </w:rPr>
        <w:t>840</w:t>
      </w:r>
      <w:r>
        <w:rPr>
          <w:bCs/>
        </w:rPr>
        <w:t>,</w:t>
      </w:r>
      <w:r w:rsidR="00C768D1">
        <w:rPr>
          <w:bCs/>
        </w:rPr>
        <w:t>90</w:t>
      </w:r>
      <w:r>
        <w:rPr>
          <w:bCs/>
        </w:rPr>
        <w:t xml:space="preserve"> eura</w:t>
      </w:r>
      <w:r w:rsidR="004E6AE0">
        <w:rPr>
          <w:bCs/>
        </w:rPr>
        <w:t xml:space="preserve">. </w:t>
      </w:r>
    </w:p>
    <w:p w14:paraId="37D94187" w14:textId="77777777" w:rsidR="00605031" w:rsidRPr="008F15F3" w:rsidRDefault="00605031" w:rsidP="00D82177">
      <w:pPr>
        <w:jc w:val="both"/>
        <w:rPr>
          <w:bCs/>
        </w:rPr>
      </w:pPr>
    </w:p>
    <w:p w14:paraId="2CCED2B9" w14:textId="1576C6D5" w:rsidR="00D6010B" w:rsidRDefault="00D6010B" w:rsidP="00D82177">
      <w:pPr>
        <w:jc w:val="both"/>
      </w:pPr>
    </w:p>
    <w:p w14:paraId="690144DF" w14:textId="39E73B4E" w:rsidR="00D6010B" w:rsidRDefault="009F3424" w:rsidP="009F3424">
      <w:pPr>
        <w:spacing w:after="0"/>
        <w:jc w:val="both"/>
      </w:pPr>
      <w:r>
        <w:t xml:space="preserve">                                                                                                                       </w:t>
      </w:r>
      <w:r w:rsidR="00930FCA">
        <w:t xml:space="preserve">                   ZAPOVIJEDNIK</w:t>
      </w:r>
    </w:p>
    <w:p w14:paraId="2AA56CB3" w14:textId="74898FD3" w:rsidR="009F3424" w:rsidRDefault="009F3424" w:rsidP="009F3424">
      <w:pPr>
        <w:spacing w:after="0"/>
        <w:jc w:val="both"/>
      </w:pPr>
      <w:r>
        <w:t xml:space="preserve">                                                                                                                          JAVNE VATROGASNE POSTROJBE </w:t>
      </w:r>
    </w:p>
    <w:p w14:paraId="26EF3F18" w14:textId="540FEA69" w:rsidR="009F3424" w:rsidRDefault="009F3424" w:rsidP="009F3424">
      <w:pPr>
        <w:spacing w:after="0"/>
        <w:jc w:val="both"/>
      </w:pPr>
      <w:r>
        <w:t xml:space="preserve">                                                                                                                    CENTAR ZA ZAŠTITU OD POŽARA POREČ</w:t>
      </w:r>
    </w:p>
    <w:p w14:paraId="7316382B" w14:textId="02DEC8EC" w:rsidR="009F3424" w:rsidRDefault="009F3424" w:rsidP="009F3424">
      <w:pPr>
        <w:spacing w:after="0"/>
        <w:jc w:val="both"/>
      </w:pPr>
      <w:r>
        <w:t xml:space="preserve">                                                                                                                                   </w:t>
      </w:r>
      <w:r w:rsidR="00930FCA">
        <w:t>Denis Matošević dipl. ing.</w:t>
      </w:r>
    </w:p>
    <w:p w14:paraId="318891AF" w14:textId="37299040" w:rsidR="00193F8F" w:rsidRDefault="00D6010B" w:rsidP="007C01AB">
      <w:pPr>
        <w:jc w:val="both"/>
        <w:rPr>
          <w:b/>
          <w:bCs/>
        </w:rPr>
      </w:pPr>
      <w:r>
        <w:t xml:space="preserve">                                                                                                                                </w:t>
      </w:r>
    </w:p>
    <w:sectPr w:rsidR="00193F8F" w:rsidSect="003531F6">
      <w:footerReference w:type="default" r:id="rId22"/>
      <w:pgSz w:w="11906" w:h="16838"/>
      <w:pgMar w:top="1418" w:right="907" w:bottom="1418" w:left="907" w:header="709" w:footer="709" w:gutter="0"/>
      <w:pgNumType w:start="0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7D226" w14:textId="77777777" w:rsidR="00D47007" w:rsidRDefault="00D47007" w:rsidP="00891F27">
      <w:pPr>
        <w:spacing w:after="0" w:line="240" w:lineRule="auto"/>
      </w:pPr>
      <w:r>
        <w:separator/>
      </w:r>
    </w:p>
  </w:endnote>
  <w:endnote w:type="continuationSeparator" w:id="0">
    <w:p w14:paraId="61AEC82D" w14:textId="77777777" w:rsidR="00D47007" w:rsidRDefault="00D47007" w:rsidP="00891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292116"/>
      <w:docPartObj>
        <w:docPartGallery w:val="Page Numbers (Bottom of Page)"/>
        <w:docPartUnique/>
      </w:docPartObj>
    </w:sdtPr>
    <w:sdtEndPr/>
    <w:sdtContent>
      <w:p w14:paraId="2B07F155" w14:textId="4266ECFD" w:rsidR="00883487" w:rsidRDefault="0088348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AFD773" w14:textId="77777777" w:rsidR="00891F27" w:rsidRDefault="00891F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3A894" w14:textId="77777777" w:rsidR="00D47007" w:rsidRDefault="00D47007" w:rsidP="00891F27">
      <w:pPr>
        <w:spacing w:after="0" w:line="240" w:lineRule="auto"/>
      </w:pPr>
      <w:r>
        <w:separator/>
      </w:r>
    </w:p>
  </w:footnote>
  <w:footnote w:type="continuationSeparator" w:id="0">
    <w:p w14:paraId="4517B1AD" w14:textId="77777777" w:rsidR="00D47007" w:rsidRDefault="00D47007" w:rsidP="00891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8348A"/>
    <w:multiLevelType w:val="hybridMultilevel"/>
    <w:tmpl w:val="FB7454D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F0E8E"/>
    <w:multiLevelType w:val="multilevel"/>
    <w:tmpl w:val="6838B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AE7344"/>
    <w:multiLevelType w:val="hybridMultilevel"/>
    <w:tmpl w:val="0BAC036C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D36AC"/>
    <w:multiLevelType w:val="hybridMultilevel"/>
    <w:tmpl w:val="4DD8C1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D0586"/>
    <w:multiLevelType w:val="multilevel"/>
    <w:tmpl w:val="25FEE6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3333691"/>
    <w:multiLevelType w:val="hybridMultilevel"/>
    <w:tmpl w:val="506CCCC8"/>
    <w:lvl w:ilvl="0" w:tplc="253CEC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423D4C"/>
    <w:multiLevelType w:val="hybridMultilevel"/>
    <w:tmpl w:val="D332A90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4F"/>
    <w:rsid w:val="000212EB"/>
    <w:rsid w:val="0004219D"/>
    <w:rsid w:val="00047060"/>
    <w:rsid w:val="00074777"/>
    <w:rsid w:val="00075C27"/>
    <w:rsid w:val="00075D3D"/>
    <w:rsid w:val="00076CFE"/>
    <w:rsid w:val="00087094"/>
    <w:rsid w:val="000975B0"/>
    <w:rsid w:val="000A11FD"/>
    <w:rsid w:val="000C397C"/>
    <w:rsid w:val="000E0A92"/>
    <w:rsid w:val="000F1CB2"/>
    <w:rsid w:val="00110906"/>
    <w:rsid w:val="0011627D"/>
    <w:rsid w:val="00121457"/>
    <w:rsid w:val="00131172"/>
    <w:rsid w:val="00145505"/>
    <w:rsid w:val="001465E3"/>
    <w:rsid w:val="001618FE"/>
    <w:rsid w:val="0018379D"/>
    <w:rsid w:val="00193F8F"/>
    <w:rsid w:val="001B1BAF"/>
    <w:rsid w:val="001C418A"/>
    <w:rsid w:val="001F7ACB"/>
    <w:rsid w:val="002015D0"/>
    <w:rsid w:val="002113E9"/>
    <w:rsid w:val="0021508F"/>
    <w:rsid w:val="002153F8"/>
    <w:rsid w:val="00226EB0"/>
    <w:rsid w:val="0023077E"/>
    <w:rsid w:val="00241AF5"/>
    <w:rsid w:val="00246ABA"/>
    <w:rsid w:val="00274349"/>
    <w:rsid w:val="002A005A"/>
    <w:rsid w:val="002A6719"/>
    <w:rsid w:val="002D5B9A"/>
    <w:rsid w:val="00330FFD"/>
    <w:rsid w:val="003531F6"/>
    <w:rsid w:val="0037630B"/>
    <w:rsid w:val="00397523"/>
    <w:rsid w:val="004069B6"/>
    <w:rsid w:val="00406D17"/>
    <w:rsid w:val="004122E0"/>
    <w:rsid w:val="004236CF"/>
    <w:rsid w:val="004330BA"/>
    <w:rsid w:val="004336E5"/>
    <w:rsid w:val="00445BBA"/>
    <w:rsid w:val="00461077"/>
    <w:rsid w:val="004624CE"/>
    <w:rsid w:val="004766B3"/>
    <w:rsid w:val="0048625A"/>
    <w:rsid w:val="004A40CE"/>
    <w:rsid w:val="004C2079"/>
    <w:rsid w:val="004E0264"/>
    <w:rsid w:val="004E6AE0"/>
    <w:rsid w:val="004F790A"/>
    <w:rsid w:val="00526643"/>
    <w:rsid w:val="00555093"/>
    <w:rsid w:val="00556BE8"/>
    <w:rsid w:val="00567D16"/>
    <w:rsid w:val="00567F1D"/>
    <w:rsid w:val="00583F23"/>
    <w:rsid w:val="00594084"/>
    <w:rsid w:val="005973E0"/>
    <w:rsid w:val="005A775F"/>
    <w:rsid w:val="005B51E0"/>
    <w:rsid w:val="005D6520"/>
    <w:rsid w:val="005E634A"/>
    <w:rsid w:val="005F0AFA"/>
    <w:rsid w:val="005F4FF6"/>
    <w:rsid w:val="00605031"/>
    <w:rsid w:val="0060509F"/>
    <w:rsid w:val="006062DB"/>
    <w:rsid w:val="0064669D"/>
    <w:rsid w:val="00677F4B"/>
    <w:rsid w:val="00695CF4"/>
    <w:rsid w:val="006A218A"/>
    <w:rsid w:val="006B5A29"/>
    <w:rsid w:val="006E2681"/>
    <w:rsid w:val="006F0A16"/>
    <w:rsid w:val="007048F7"/>
    <w:rsid w:val="007208E7"/>
    <w:rsid w:val="0073020E"/>
    <w:rsid w:val="00737E19"/>
    <w:rsid w:val="007454D7"/>
    <w:rsid w:val="00747CCC"/>
    <w:rsid w:val="007505B3"/>
    <w:rsid w:val="007700D9"/>
    <w:rsid w:val="00797E56"/>
    <w:rsid w:val="007C01AB"/>
    <w:rsid w:val="007C701C"/>
    <w:rsid w:val="007F0A90"/>
    <w:rsid w:val="008124F7"/>
    <w:rsid w:val="008171BF"/>
    <w:rsid w:val="00830ECF"/>
    <w:rsid w:val="00834C14"/>
    <w:rsid w:val="008407D2"/>
    <w:rsid w:val="00842E1D"/>
    <w:rsid w:val="00860C21"/>
    <w:rsid w:val="00877366"/>
    <w:rsid w:val="00883487"/>
    <w:rsid w:val="00883E18"/>
    <w:rsid w:val="008906A3"/>
    <w:rsid w:val="00891F27"/>
    <w:rsid w:val="008C27C4"/>
    <w:rsid w:val="008D1AB7"/>
    <w:rsid w:val="008D3C64"/>
    <w:rsid w:val="008D4D51"/>
    <w:rsid w:val="008D5C0C"/>
    <w:rsid w:val="008E37CE"/>
    <w:rsid w:val="00912DF4"/>
    <w:rsid w:val="00930FCA"/>
    <w:rsid w:val="00936574"/>
    <w:rsid w:val="00960CA8"/>
    <w:rsid w:val="00971CDF"/>
    <w:rsid w:val="00972768"/>
    <w:rsid w:val="009A5B85"/>
    <w:rsid w:val="009C7E10"/>
    <w:rsid w:val="009D2083"/>
    <w:rsid w:val="009D7296"/>
    <w:rsid w:val="009E1602"/>
    <w:rsid w:val="009E28DF"/>
    <w:rsid w:val="009E49D5"/>
    <w:rsid w:val="009F0463"/>
    <w:rsid w:val="009F3424"/>
    <w:rsid w:val="00A23A00"/>
    <w:rsid w:val="00A41858"/>
    <w:rsid w:val="00A4296A"/>
    <w:rsid w:val="00A6685A"/>
    <w:rsid w:val="00A84F0B"/>
    <w:rsid w:val="00AB41D9"/>
    <w:rsid w:val="00AB5009"/>
    <w:rsid w:val="00AC35DA"/>
    <w:rsid w:val="00AF16AA"/>
    <w:rsid w:val="00B152AB"/>
    <w:rsid w:val="00B63A6A"/>
    <w:rsid w:val="00B83138"/>
    <w:rsid w:val="00BA4C41"/>
    <w:rsid w:val="00BD511D"/>
    <w:rsid w:val="00BD64E7"/>
    <w:rsid w:val="00BE0DF7"/>
    <w:rsid w:val="00C51E5B"/>
    <w:rsid w:val="00C53403"/>
    <w:rsid w:val="00C629C9"/>
    <w:rsid w:val="00C63656"/>
    <w:rsid w:val="00C6524F"/>
    <w:rsid w:val="00C768D1"/>
    <w:rsid w:val="00C80CA9"/>
    <w:rsid w:val="00CA3A76"/>
    <w:rsid w:val="00CC6D3A"/>
    <w:rsid w:val="00CE0EC9"/>
    <w:rsid w:val="00CE3EEC"/>
    <w:rsid w:val="00CE4CF8"/>
    <w:rsid w:val="00D13B93"/>
    <w:rsid w:val="00D1484D"/>
    <w:rsid w:val="00D22EFF"/>
    <w:rsid w:val="00D33175"/>
    <w:rsid w:val="00D334EA"/>
    <w:rsid w:val="00D421BA"/>
    <w:rsid w:val="00D47007"/>
    <w:rsid w:val="00D6010B"/>
    <w:rsid w:val="00D74A60"/>
    <w:rsid w:val="00D82177"/>
    <w:rsid w:val="00DB7D99"/>
    <w:rsid w:val="00DC1732"/>
    <w:rsid w:val="00DD0252"/>
    <w:rsid w:val="00DF2EB5"/>
    <w:rsid w:val="00E235F6"/>
    <w:rsid w:val="00E373C5"/>
    <w:rsid w:val="00E94C57"/>
    <w:rsid w:val="00E9588F"/>
    <w:rsid w:val="00EC6661"/>
    <w:rsid w:val="00ED5B61"/>
    <w:rsid w:val="00ED6542"/>
    <w:rsid w:val="00EF3AAC"/>
    <w:rsid w:val="00EF578F"/>
    <w:rsid w:val="00EF75A7"/>
    <w:rsid w:val="00F005C8"/>
    <w:rsid w:val="00F00AF8"/>
    <w:rsid w:val="00F01F2B"/>
    <w:rsid w:val="00F07513"/>
    <w:rsid w:val="00F22BDB"/>
    <w:rsid w:val="00F23F6D"/>
    <w:rsid w:val="00F511F5"/>
    <w:rsid w:val="00F52B67"/>
    <w:rsid w:val="00F535BF"/>
    <w:rsid w:val="00F6516F"/>
    <w:rsid w:val="00FA3F83"/>
    <w:rsid w:val="00FA4397"/>
    <w:rsid w:val="00FB176D"/>
    <w:rsid w:val="00FD52C6"/>
    <w:rsid w:val="00FF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79C0"/>
  <w15:chartTrackingRefBased/>
  <w15:docId w15:val="{EA6D2DB0-A8FC-41D9-9F41-9CAD6BED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524F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7454D7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454D7"/>
    <w:rPr>
      <w:color w:val="954F72"/>
      <w:u w:val="single"/>
    </w:rPr>
  </w:style>
  <w:style w:type="paragraph" w:customStyle="1" w:styleId="msonormal0">
    <w:name w:val="msonormal"/>
    <w:basedOn w:val="Normal"/>
    <w:rsid w:val="0074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7454D7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66">
    <w:name w:val="xl66"/>
    <w:basedOn w:val="Normal"/>
    <w:rsid w:val="007454D7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67">
    <w:name w:val="xl67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0">
    <w:name w:val="xl70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1">
    <w:name w:val="xl71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3">
    <w:name w:val="xl73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5">
    <w:name w:val="xl75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6">
    <w:name w:val="xl76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1">
    <w:name w:val="xl81"/>
    <w:basedOn w:val="Normal"/>
    <w:rsid w:val="007454D7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7454D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7454D7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4">
    <w:name w:val="xl84"/>
    <w:basedOn w:val="Normal"/>
    <w:rsid w:val="007454D7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5">
    <w:name w:val="xl85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6">
    <w:name w:val="xl86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7">
    <w:name w:val="xl87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8">
    <w:name w:val="xl88"/>
    <w:basedOn w:val="Normal"/>
    <w:rsid w:val="007454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9">
    <w:name w:val="xl89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90">
    <w:name w:val="xl90"/>
    <w:basedOn w:val="Normal"/>
    <w:rsid w:val="007454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91">
    <w:name w:val="xl91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92">
    <w:name w:val="xl92"/>
    <w:basedOn w:val="Normal"/>
    <w:rsid w:val="007454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93">
    <w:name w:val="xl93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4">
    <w:name w:val="xl94"/>
    <w:basedOn w:val="Normal"/>
    <w:rsid w:val="007454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5">
    <w:name w:val="xl95"/>
    <w:basedOn w:val="Normal"/>
    <w:rsid w:val="007454D7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96">
    <w:name w:val="xl96"/>
    <w:basedOn w:val="Normal"/>
    <w:rsid w:val="007454D7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97">
    <w:name w:val="xl97"/>
    <w:basedOn w:val="Normal"/>
    <w:rsid w:val="007454D7"/>
    <w:pPr>
      <w:pBdr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98">
    <w:name w:val="xl98"/>
    <w:basedOn w:val="Normal"/>
    <w:rsid w:val="007454D7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99">
    <w:name w:val="xl99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00">
    <w:name w:val="xl100"/>
    <w:basedOn w:val="Normal"/>
    <w:rsid w:val="007454D7"/>
    <w:pPr>
      <w:pBdr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01">
    <w:name w:val="xl101"/>
    <w:basedOn w:val="Normal"/>
    <w:rsid w:val="007454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02">
    <w:name w:val="xl102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103">
    <w:name w:val="xl103"/>
    <w:basedOn w:val="Normal"/>
    <w:rsid w:val="007454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4">
    <w:name w:val="xl104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5">
    <w:name w:val="xl105"/>
    <w:basedOn w:val="Normal"/>
    <w:rsid w:val="007454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6">
    <w:name w:val="xl106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7">
    <w:name w:val="xl107"/>
    <w:basedOn w:val="Normal"/>
    <w:rsid w:val="007454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08">
    <w:name w:val="xl108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7454D7"/>
    <w:pPr>
      <w:pBdr>
        <w:top w:val="single" w:sz="4" w:space="0" w:color="auto"/>
        <w:lef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1">
    <w:name w:val="xl111"/>
    <w:basedOn w:val="Normal"/>
    <w:rsid w:val="007454D7"/>
    <w:pPr>
      <w:pBdr>
        <w:top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2">
    <w:name w:val="xl112"/>
    <w:basedOn w:val="Normal"/>
    <w:rsid w:val="007454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745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77F4B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91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91F27"/>
  </w:style>
  <w:style w:type="paragraph" w:styleId="Podnoje">
    <w:name w:val="footer"/>
    <w:basedOn w:val="Normal"/>
    <w:link w:val="PodnojeChar"/>
    <w:uiPriority w:val="99"/>
    <w:unhideWhenUsed/>
    <w:rsid w:val="00891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91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4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Izvještaj o prihodima i rashodima prema izvorima financiranja</a:t>
            </a:r>
          </a:p>
        </c:rich>
      </c:tx>
      <c:layout>
        <c:manualLayout>
          <c:xMode val="edge"/>
          <c:yMode val="edge"/>
          <c:x val="0.15262003096566865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prihodi</c:v>
                </c:pt>
              </c:strCache>
            </c:strRef>
          </c:tx>
          <c:spPr>
            <a:solidFill>
              <a:schemeClr val="accent6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List1!$A$2:$A$8</c:f>
              <c:strCache>
                <c:ptCount val="7"/>
                <c:pt idx="0">
                  <c:v>Izvor: 1.4. opći prihodi i primici</c:v>
                </c:pt>
                <c:pt idx="1">
                  <c:v>Izvor: 3.1. vlastiti prihodi</c:v>
                </c:pt>
                <c:pt idx="2">
                  <c:v>Izvor:4.8. prihodi za posebne namjene</c:v>
                </c:pt>
                <c:pt idx="3">
                  <c:v>Izvor: 5.1. pomoći za minimalni standard</c:v>
                </c:pt>
                <c:pt idx="4">
                  <c:v>Izvor: 5.5. pomoći iz općinskog proračuna</c:v>
                </c:pt>
                <c:pt idx="5">
                  <c:v>Izvor: 6.1. donacije za proračunske korisnike</c:v>
                </c:pt>
                <c:pt idx="6">
                  <c:v>Izvor: 5.3. pomoći iz državnog proračuna</c:v>
                </c:pt>
              </c:strCache>
            </c:strRef>
          </c:cat>
          <c:val>
            <c:numRef>
              <c:f>List1!$B$2:$B$8</c:f>
              <c:numCache>
                <c:formatCode>#,##0</c:formatCode>
                <c:ptCount val="7"/>
                <c:pt idx="0">
                  <c:v>738087.05</c:v>
                </c:pt>
                <c:pt idx="1">
                  <c:v>65411.91</c:v>
                </c:pt>
                <c:pt idx="2">
                  <c:v>164466.29999999999</c:v>
                </c:pt>
                <c:pt idx="3">
                  <c:v>563232</c:v>
                </c:pt>
                <c:pt idx="4">
                  <c:v>388653.29</c:v>
                </c:pt>
                <c:pt idx="5">
                  <c:v>6311.68</c:v>
                </c:pt>
                <c:pt idx="6">
                  <c:v>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33-4B92-B21B-308BF2CBE2A2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rashodi</c:v>
                </c:pt>
              </c:strCache>
            </c:strRef>
          </c:tx>
          <c:spPr>
            <a:solidFill>
              <a:schemeClr val="accent6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List1!$A$2:$A$8</c:f>
              <c:strCache>
                <c:ptCount val="7"/>
                <c:pt idx="0">
                  <c:v>Izvor: 1.4. opći prihodi i primici</c:v>
                </c:pt>
                <c:pt idx="1">
                  <c:v>Izvor: 3.1. vlastiti prihodi</c:v>
                </c:pt>
                <c:pt idx="2">
                  <c:v>Izvor:4.8. prihodi za posebne namjene</c:v>
                </c:pt>
                <c:pt idx="3">
                  <c:v>Izvor: 5.1. pomoći za minimalni standard</c:v>
                </c:pt>
                <c:pt idx="4">
                  <c:v>Izvor: 5.5. pomoći iz općinskog proračuna</c:v>
                </c:pt>
                <c:pt idx="5">
                  <c:v>Izvor: 6.1. donacije za proračunske korisnike</c:v>
                </c:pt>
                <c:pt idx="6">
                  <c:v>Izvor: 5.3. pomoći iz državnog proračuna</c:v>
                </c:pt>
              </c:strCache>
            </c:strRef>
          </c:cat>
          <c:val>
            <c:numRef>
              <c:f>List1!$C$2:$C$8</c:f>
              <c:numCache>
                <c:formatCode>#,##0</c:formatCode>
                <c:ptCount val="7"/>
                <c:pt idx="0">
                  <c:v>756546.55</c:v>
                </c:pt>
                <c:pt idx="1">
                  <c:v>65518.16</c:v>
                </c:pt>
                <c:pt idx="2">
                  <c:v>166526.89000000001</c:v>
                </c:pt>
                <c:pt idx="3">
                  <c:v>563232</c:v>
                </c:pt>
                <c:pt idx="4">
                  <c:v>369601.93</c:v>
                </c:pt>
                <c:pt idx="5">
                  <c:v>6311.68</c:v>
                </c:pt>
                <c:pt idx="6">
                  <c:v>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33-4B92-B21B-308BF2CBE2A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78617504"/>
        <c:axId val="478618224"/>
      </c:barChart>
      <c:catAx>
        <c:axId val="4786175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78618224"/>
        <c:crossesAt val="0"/>
        <c:auto val="1"/>
        <c:lblAlgn val="ctr"/>
        <c:lblOffset val="100"/>
        <c:noMultiLvlLbl val="0"/>
      </c:catAx>
      <c:valAx>
        <c:axId val="478618224"/>
        <c:scaling>
          <c:orientation val="minMax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78617504"/>
        <c:crosses val="autoZero"/>
        <c:crossBetween val="between"/>
      </c:valAx>
      <c:dTable>
        <c:showHorzBorder val="1"/>
        <c:showVertBorder val="1"/>
        <c:showOutline val="1"/>
        <c:showKeys val="0"/>
        <c:spPr>
          <a:solidFill>
            <a:schemeClr val="accent6">
              <a:lumMod val="20000"/>
              <a:lumOff val="80000"/>
            </a:schemeClr>
          </a:solidFill>
          <a:ln w="6350" cap="flat" cmpd="sng" algn="ctr">
            <a:solidFill>
              <a:srgbClr val="FF9900"/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313489565661647"/>
          <c:y val="9.791529113484676E-2"/>
          <c:w val="0.11317803699500416"/>
          <c:h val="0.1120034408731970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0FEFF-D1A9-4090-99C0-F58BAC260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2121</Words>
  <Characters>12091</Characters>
  <Application>Microsoft Office Word</Application>
  <DocSecurity>4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10Administrator</dc:creator>
  <cp:keywords/>
  <dc:description/>
  <cp:lastModifiedBy>Davor Poropat</cp:lastModifiedBy>
  <cp:revision>2</cp:revision>
  <cp:lastPrinted>2026-05-12T05:59:00Z</cp:lastPrinted>
  <dcterms:created xsi:type="dcterms:W3CDTF">2026-06-08T07:34:00Z</dcterms:created>
  <dcterms:modified xsi:type="dcterms:W3CDTF">2026-06-08T07:34:00Z</dcterms:modified>
</cp:coreProperties>
</file>